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1206A7CF"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2EEF9F6F"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r w:rsidR="00502C20" w:rsidRPr="00502C20">
        <w:rPr>
          <w:rFonts w:ascii="仿宋_GB2312" w:eastAsia="仿宋_GB2312" w:hint="eastAsia"/>
          <w:sz w:val="32"/>
          <w:szCs w:val="32"/>
        </w:rPr>
        <w:t>陕西融</w:t>
      </w:r>
      <w:proofErr w:type="gramStart"/>
      <w:r w:rsidR="00502C20" w:rsidRPr="00502C20">
        <w:rPr>
          <w:rFonts w:ascii="仿宋_GB2312" w:eastAsia="仿宋_GB2312" w:hint="eastAsia"/>
          <w:sz w:val="32"/>
          <w:szCs w:val="32"/>
        </w:rPr>
        <w:t>昊</w:t>
      </w:r>
      <w:proofErr w:type="gramEnd"/>
      <w:r w:rsidR="00502C20" w:rsidRPr="00502C20">
        <w:rPr>
          <w:rFonts w:ascii="仿宋_GB2312" w:eastAsia="仿宋_GB2312" w:hint="eastAsia"/>
          <w:sz w:val="32"/>
          <w:szCs w:val="32"/>
        </w:rPr>
        <w:t>会计师事务所（普通合伙）</w:t>
      </w:r>
    </w:p>
    <w:p w14:paraId="7441B6FF" w14:textId="783ACD51"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A420DC" w:rsidRPr="00A420DC">
        <w:rPr>
          <w:rFonts w:eastAsia="仿宋_GB2312"/>
          <w:kern w:val="0"/>
          <w:sz w:val="32"/>
          <w:szCs w:val="32"/>
          <w:u w:val="single"/>
        </w:rPr>
        <w:t>3</w:t>
      </w:r>
      <w:r w:rsidRPr="00A420DC">
        <w:rPr>
          <w:rFonts w:eastAsia="仿宋_GB2312"/>
          <w:kern w:val="0"/>
          <w:sz w:val="32"/>
          <w:szCs w:val="32"/>
          <w:u w:val="single"/>
        </w:rPr>
        <w:t>名</w:t>
      </w:r>
      <w:r w:rsidR="00502C20">
        <w:rPr>
          <w:rFonts w:eastAsia="仿宋_GB2312" w:hint="eastAsia"/>
          <w:kern w:val="0"/>
          <w:sz w:val="32"/>
          <w:szCs w:val="32"/>
          <w:u w:val="single"/>
        </w:rPr>
        <w:t>初</w:t>
      </w:r>
      <w:r w:rsidRPr="00A420DC">
        <w:rPr>
          <w:rFonts w:eastAsia="仿宋_GB2312"/>
          <w:kern w:val="0"/>
          <w:sz w:val="32"/>
          <w:szCs w:val="32"/>
          <w:u w:val="single"/>
        </w:rPr>
        <w:t>级会计师参与</w:t>
      </w:r>
      <w:r w:rsidR="00502C20" w:rsidRPr="00502C20">
        <w:rPr>
          <w:rFonts w:eastAsia="仿宋_GB2312" w:hint="eastAsia"/>
          <w:kern w:val="0"/>
          <w:sz w:val="32"/>
          <w:szCs w:val="32"/>
          <w:u w:val="single"/>
        </w:rPr>
        <w:t>审计查出问题整改情况专项审计调查</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647FE320"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A420DC" w:rsidRPr="00A420DC">
        <w:rPr>
          <w:rFonts w:eastAsia="仿宋_GB2312"/>
          <w:kern w:val="0"/>
          <w:sz w:val="32"/>
          <w:szCs w:val="32"/>
          <w:u w:val="single"/>
        </w:rPr>
        <w:t>派</w:t>
      </w:r>
      <w:r w:rsidR="00502C20" w:rsidRPr="00A420DC">
        <w:rPr>
          <w:rFonts w:eastAsia="仿宋_GB2312"/>
          <w:kern w:val="0"/>
          <w:sz w:val="32"/>
          <w:szCs w:val="32"/>
          <w:u w:val="single"/>
        </w:rPr>
        <w:t>3</w:t>
      </w:r>
      <w:r w:rsidR="00502C20" w:rsidRPr="00A420DC">
        <w:rPr>
          <w:rFonts w:eastAsia="仿宋_GB2312"/>
          <w:kern w:val="0"/>
          <w:sz w:val="32"/>
          <w:szCs w:val="32"/>
          <w:u w:val="single"/>
        </w:rPr>
        <w:t>名</w:t>
      </w:r>
      <w:r w:rsidR="00502C20">
        <w:rPr>
          <w:rFonts w:eastAsia="仿宋_GB2312" w:hint="eastAsia"/>
          <w:kern w:val="0"/>
          <w:sz w:val="32"/>
          <w:szCs w:val="32"/>
          <w:u w:val="single"/>
        </w:rPr>
        <w:t>初</w:t>
      </w:r>
      <w:r w:rsidR="00502C20" w:rsidRPr="00A420DC">
        <w:rPr>
          <w:rFonts w:eastAsia="仿宋_GB2312"/>
          <w:kern w:val="0"/>
          <w:sz w:val="32"/>
          <w:szCs w:val="32"/>
          <w:u w:val="single"/>
        </w:rPr>
        <w:t>级会计师参与</w:t>
      </w:r>
      <w:r w:rsidR="00502C20" w:rsidRPr="00502C20">
        <w:rPr>
          <w:rFonts w:eastAsia="仿宋_GB2312" w:hint="eastAsia"/>
          <w:kern w:val="0"/>
          <w:sz w:val="32"/>
          <w:szCs w:val="32"/>
          <w:u w:val="single"/>
        </w:rPr>
        <w:t>审计查出问题整改情况专项审计调查</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6BCC5F1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45208770"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502C20">
        <w:rPr>
          <w:rFonts w:eastAsia="仿宋_GB2312" w:hint="eastAsia"/>
          <w:sz w:val="32"/>
          <w:szCs w:val="32"/>
        </w:rPr>
        <w:t>初</w:t>
      </w:r>
      <w:r w:rsidRPr="001C1277">
        <w:rPr>
          <w:rFonts w:eastAsia="仿宋_GB2312"/>
          <w:sz w:val="32"/>
          <w:szCs w:val="32"/>
        </w:rPr>
        <w:t>级会计师</w:t>
      </w:r>
      <w:r w:rsidR="00502C20">
        <w:rPr>
          <w:rFonts w:eastAsia="仿宋_GB2312" w:hint="eastAsia"/>
          <w:sz w:val="32"/>
          <w:szCs w:val="32"/>
        </w:rPr>
        <w:t>275</w:t>
      </w:r>
      <w:r w:rsidRPr="001C1277">
        <w:rPr>
          <w:rFonts w:eastAsia="仿宋_GB2312"/>
          <w:sz w:val="32"/>
          <w:szCs w:val="32"/>
        </w:rPr>
        <w:t>元</w:t>
      </w:r>
      <w:r w:rsidRPr="001C1277">
        <w:rPr>
          <w:rFonts w:eastAsia="仿宋_GB2312"/>
          <w:sz w:val="32"/>
          <w:szCs w:val="32"/>
        </w:rPr>
        <w:t>/</w:t>
      </w:r>
      <w:r w:rsidRPr="001C1277">
        <w:rPr>
          <w:rFonts w:eastAsia="仿宋_GB2312"/>
          <w:sz w:val="32"/>
          <w:szCs w:val="32"/>
        </w:rPr>
        <w:t>人</w:t>
      </w:r>
      <w:r w:rsidRPr="001C1277">
        <w:rPr>
          <w:sz w:val="32"/>
          <w:szCs w:val="32"/>
        </w:rPr>
        <w:t>•</w:t>
      </w:r>
      <w:r w:rsidRPr="001C1277">
        <w:rPr>
          <w:rFonts w:eastAsia="仿宋_GB2312"/>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3A4DD452" w:rsidR="009301A4" w:rsidRDefault="00586721" w:rsidP="001C1277">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lastRenderedPageBreak/>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w:t>
      </w:r>
      <w:r>
        <w:rPr>
          <w:rFonts w:ascii="仿宋_GB2312" w:eastAsia="仿宋_GB2312" w:hAnsi="仿宋" w:cs="宋体" w:hint="eastAsia"/>
          <w:kern w:val="0"/>
          <w:sz w:val="32"/>
          <w:szCs w:val="32"/>
        </w:rPr>
        <w:lastRenderedPageBreak/>
        <w:t>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00C74D9D" w14:textId="61B3DA52"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8C114A">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581E3BA" w14:textId="77777777" w:rsidR="009301A4" w:rsidRDefault="009301A4">
      <w:pPr>
        <w:pStyle w:val="a4"/>
        <w:spacing w:line="600" w:lineRule="exact"/>
        <w:rPr>
          <w:rFonts w:ascii="仿宋_GB2312" w:eastAsia="仿宋_GB2312" w:hAnsi="仿宋"/>
          <w:sz w:val="32"/>
          <w:szCs w:val="32"/>
        </w:rPr>
      </w:pP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372CA216"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3B7D97">
        <w:rPr>
          <w:rFonts w:ascii="仿宋_GB2312" w:eastAsia="仿宋_GB2312" w:hAnsi="仿宋" w:hint="eastAsia"/>
          <w:sz w:val="32"/>
          <w:szCs w:val="32"/>
          <w:u w:val="single"/>
        </w:rPr>
        <w:t>8</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3B7D97">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3B7D97">
        <w:rPr>
          <w:rFonts w:ascii="仿宋_GB2312" w:eastAsia="仿宋_GB2312" w:hAnsi="仿宋" w:hint="eastAsia"/>
          <w:sz w:val="32"/>
          <w:szCs w:val="32"/>
          <w:u w:val="single"/>
        </w:rPr>
        <w:t>8</w:t>
      </w:r>
      <w:r w:rsidR="00E46E44">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3B7D97">
        <w:rPr>
          <w:rFonts w:ascii="仿宋_GB2312" w:eastAsia="仿宋_GB2312" w:hAnsi="仿宋" w:hint="eastAsia"/>
          <w:sz w:val="32"/>
          <w:szCs w:val="32"/>
          <w:u w:val="single"/>
        </w:rPr>
        <w:t>6</w:t>
      </w:r>
      <w:bookmarkStart w:id="0" w:name="_GoBack"/>
      <w:bookmarkEnd w:id="0"/>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2B845262" w14:textId="77777777" w:rsidR="009301A4" w:rsidRDefault="009301A4">
      <w:pPr>
        <w:pStyle w:val="a4"/>
        <w:spacing w:line="600" w:lineRule="exact"/>
        <w:rPr>
          <w:rFonts w:ascii="仿宋_GB2312" w:eastAsia="仿宋_GB2312" w:hAnsi="仿宋"/>
          <w:sz w:val="32"/>
          <w:szCs w:val="32"/>
        </w:rPr>
      </w:pPr>
    </w:p>
    <w:p w14:paraId="07A4FB69" w14:textId="77777777" w:rsidR="00A420DC" w:rsidRDefault="00A420DC">
      <w:pPr>
        <w:pStyle w:val="a4"/>
        <w:spacing w:line="600" w:lineRule="exact"/>
        <w:rPr>
          <w:rFonts w:ascii="仿宋_GB2312" w:eastAsia="仿宋_GB2312" w:hAnsi="仿宋"/>
          <w:sz w:val="32"/>
          <w:szCs w:val="32"/>
        </w:rPr>
      </w:pPr>
    </w:p>
    <w:p w14:paraId="5F4D8F8F" w14:textId="77777777" w:rsidR="00A420DC" w:rsidRDefault="00A420DC">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029AF5E0" w:rsidR="009301A4" w:rsidRDefault="00502C2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初</w:t>
            </w:r>
            <w:r w:rsidR="00586721">
              <w:rPr>
                <w:rFonts w:ascii="仿宋_GB2312" w:eastAsia="仿宋_GB2312" w:hAnsi="仿宋" w:hint="eastAsia"/>
                <w:sz w:val="28"/>
                <w:szCs w:val="32"/>
              </w:rPr>
              <w:t>级会计师</w:t>
            </w: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4575536C" w:rsidR="00C151E5" w:rsidRDefault="00502C2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初级会计师</w:t>
            </w: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A420DC" w14:paraId="65E71362" w14:textId="77777777">
        <w:trPr>
          <w:trHeight w:val="706"/>
        </w:trPr>
        <w:tc>
          <w:tcPr>
            <w:tcW w:w="1135" w:type="dxa"/>
            <w:vAlign w:val="center"/>
          </w:tcPr>
          <w:p w14:paraId="0498D6BB" w14:textId="6CDF8B30" w:rsidR="00A420DC" w:rsidRDefault="00A420DC">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76728771" w14:textId="77777777" w:rsidR="00A420DC" w:rsidRDefault="00A420DC">
            <w:pPr>
              <w:pStyle w:val="a4"/>
              <w:spacing w:line="600" w:lineRule="exact"/>
              <w:jc w:val="center"/>
              <w:rPr>
                <w:rFonts w:ascii="仿宋_GB2312" w:eastAsia="仿宋_GB2312" w:hAnsi="仿宋"/>
                <w:sz w:val="28"/>
                <w:szCs w:val="32"/>
              </w:rPr>
            </w:pPr>
          </w:p>
        </w:tc>
        <w:tc>
          <w:tcPr>
            <w:tcW w:w="1985" w:type="dxa"/>
            <w:vAlign w:val="center"/>
          </w:tcPr>
          <w:p w14:paraId="22C2ED25" w14:textId="59261143" w:rsidR="00A420DC" w:rsidRDefault="00502C2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初级会计师</w:t>
            </w:r>
          </w:p>
        </w:tc>
        <w:tc>
          <w:tcPr>
            <w:tcW w:w="2835" w:type="dxa"/>
            <w:vAlign w:val="center"/>
          </w:tcPr>
          <w:p w14:paraId="2B1057EB" w14:textId="77777777" w:rsidR="00A420DC" w:rsidRDefault="00A420DC" w:rsidP="00586721">
            <w:pPr>
              <w:pStyle w:val="a4"/>
              <w:spacing w:line="600" w:lineRule="exact"/>
              <w:jc w:val="center"/>
              <w:rPr>
                <w:rFonts w:ascii="仿宋_GB2312" w:eastAsia="仿宋_GB2312" w:hAnsi="仿宋"/>
                <w:sz w:val="28"/>
                <w:szCs w:val="32"/>
              </w:rPr>
            </w:pPr>
          </w:p>
        </w:tc>
        <w:tc>
          <w:tcPr>
            <w:tcW w:w="2126" w:type="dxa"/>
            <w:vAlign w:val="center"/>
          </w:tcPr>
          <w:p w14:paraId="2D09A40B" w14:textId="77777777" w:rsidR="00A420DC" w:rsidRDefault="00A420DC" w:rsidP="00586721">
            <w:pPr>
              <w:pStyle w:val="a4"/>
              <w:spacing w:line="600" w:lineRule="exact"/>
              <w:jc w:val="center"/>
              <w:rPr>
                <w:rFonts w:ascii="仿宋_GB2312" w:eastAsia="仿宋_GB2312" w:hAnsi="仿宋"/>
                <w:sz w:val="28"/>
                <w:szCs w:val="32"/>
              </w:rPr>
            </w:pPr>
          </w:p>
        </w:tc>
      </w:tr>
    </w:tbl>
    <w:p w14:paraId="0FEACF4B" w14:textId="77777777" w:rsidR="009301A4" w:rsidRDefault="009301A4" w:rsidP="00D9340F">
      <w:pPr>
        <w:pStyle w:val="a4"/>
        <w:spacing w:line="600" w:lineRule="exact"/>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3B7D97">
      <w:rPr>
        <w:noProof/>
        <w:kern w:val="0"/>
      </w:rPr>
      <w:t>4</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3B7D97">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37C01"/>
    <w:rsid w:val="00073F05"/>
    <w:rsid w:val="000816D6"/>
    <w:rsid w:val="00087B4D"/>
    <w:rsid w:val="000D4C9C"/>
    <w:rsid w:val="00141D30"/>
    <w:rsid w:val="001609FC"/>
    <w:rsid w:val="00161E34"/>
    <w:rsid w:val="00162218"/>
    <w:rsid w:val="00174CF9"/>
    <w:rsid w:val="001B164A"/>
    <w:rsid w:val="001B7F60"/>
    <w:rsid w:val="001C1277"/>
    <w:rsid w:val="001C1BDD"/>
    <w:rsid w:val="001D1F95"/>
    <w:rsid w:val="001D57A0"/>
    <w:rsid w:val="001E55F7"/>
    <w:rsid w:val="00204B0F"/>
    <w:rsid w:val="00214BD6"/>
    <w:rsid w:val="0021705C"/>
    <w:rsid w:val="002222D1"/>
    <w:rsid w:val="00233143"/>
    <w:rsid w:val="0025203D"/>
    <w:rsid w:val="002B41F6"/>
    <w:rsid w:val="002B4FE3"/>
    <w:rsid w:val="002D37E4"/>
    <w:rsid w:val="002D4D93"/>
    <w:rsid w:val="003014CC"/>
    <w:rsid w:val="003153DB"/>
    <w:rsid w:val="0038772A"/>
    <w:rsid w:val="003B7D97"/>
    <w:rsid w:val="003D2E35"/>
    <w:rsid w:val="0047201C"/>
    <w:rsid w:val="004B159C"/>
    <w:rsid w:val="004B54B9"/>
    <w:rsid w:val="004D1A58"/>
    <w:rsid w:val="00502C20"/>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7A7CB8"/>
    <w:rsid w:val="008171C5"/>
    <w:rsid w:val="00861573"/>
    <w:rsid w:val="00872654"/>
    <w:rsid w:val="00894924"/>
    <w:rsid w:val="008A6C94"/>
    <w:rsid w:val="008C114A"/>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420DC"/>
    <w:rsid w:val="00A54CE6"/>
    <w:rsid w:val="00A859B4"/>
    <w:rsid w:val="00AB16F5"/>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D07EF"/>
    <w:rsid w:val="00CE3912"/>
    <w:rsid w:val="00CE53AA"/>
    <w:rsid w:val="00D028C9"/>
    <w:rsid w:val="00D6613A"/>
    <w:rsid w:val="00D92E77"/>
    <w:rsid w:val="00D9340F"/>
    <w:rsid w:val="00DC2A29"/>
    <w:rsid w:val="00DE3CD0"/>
    <w:rsid w:val="00DF00D7"/>
    <w:rsid w:val="00E42F52"/>
    <w:rsid w:val="00E46E44"/>
    <w:rsid w:val="00E95CF8"/>
    <w:rsid w:val="00EA0B7D"/>
    <w:rsid w:val="00ED0949"/>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1713</Words>
  <Characters>157</Characters>
  <Application>Microsoft Office Word</Application>
  <DocSecurity>0</DocSecurity>
  <Lines>1</Lines>
  <Paragraphs>3</Paragraphs>
  <ScaleCrop>false</ScaleCrop>
  <Company>微软中国</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45</cp:revision>
  <cp:lastPrinted>2025-06-05T09:29:00Z</cp:lastPrinted>
  <dcterms:created xsi:type="dcterms:W3CDTF">2024-06-28T02:59:00Z</dcterms:created>
  <dcterms:modified xsi:type="dcterms:W3CDTF">2025-08-06T10:14:00Z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