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6DF895">
      <w:pPr>
        <w:keepNext w:val="0"/>
        <w:keepLines w:val="0"/>
        <w:pageBreakBefore w:val="0"/>
        <w:widowControl/>
        <w:kinsoku/>
        <w:wordWrap w:val="0"/>
        <w:overflowPunct/>
        <w:topLinePunct w:val="0"/>
        <w:autoSpaceDE/>
        <w:autoSpaceDN/>
        <w:bidi w:val="0"/>
        <w:adjustRightInd/>
        <w:snapToGrid w:val="0"/>
        <w:spacing w:beforeAutospacing="0" w:after="0" w:afterAutospacing="0" w:line="288" w:lineRule="auto"/>
        <w:jc w:val="center"/>
        <w:textAlignment w:val="auto"/>
        <w:outlineLvl w:val="0"/>
        <w:rPr>
          <w:rFonts w:hint="eastAsia" w:ascii="仿宋" w:hAnsi="仿宋" w:eastAsia="仿宋" w:cs="宋体"/>
          <w:bCs/>
          <w:kern w:val="36"/>
          <w:sz w:val="36"/>
          <w:szCs w:val="36"/>
          <w:lang w:val="en-US" w:eastAsia="zh-CN"/>
        </w:rPr>
      </w:pPr>
    </w:p>
    <w:p w14:paraId="3605C754">
      <w:pPr>
        <w:keepNext w:val="0"/>
        <w:keepLines w:val="0"/>
        <w:pageBreakBefore w:val="0"/>
        <w:widowControl/>
        <w:kinsoku/>
        <w:wordWrap w:val="0"/>
        <w:overflowPunct/>
        <w:topLinePunct w:val="0"/>
        <w:autoSpaceDE/>
        <w:autoSpaceDN/>
        <w:bidi w:val="0"/>
        <w:adjustRightInd/>
        <w:snapToGrid w:val="0"/>
        <w:spacing w:beforeAutospacing="0" w:after="0" w:afterAutospacing="0" w:line="288" w:lineRule="auto"/>
        <w:jc w:val="center"/>
        <w:textAlignment w:val="auto"/>
        <w:outlineLvl w:val="0"/>
        <w:rPr>
          <w:rFonts w:hint="eastAsia" w:ascii="仿宋" w:hAnsi="仿宋" w:eastAsia="仿宋" w:cs="宋体"/>
          <w:bCs/>
          <w:kern w:val="36"/>
          <w:sz w:val="36"/>
          <w:szCs w:val="36"/>
          <w:lang w:val="en-US" w:eastAsia="zh-CN"/>
        </w:rPr>
      </w:pPr>
      <w:r>
        <w:rPr>
          <w:rFonts w:hint="eastAsia" w:ascii="仿宋" w:hAnsi="仿宋" w:eastAsia="仿宋" w:cs="宋体"/>
          <w:bCs/>
          <w:kern w:val="36"/>
          <w:sz w:val="36"/>
          <w:szCs w:val="36"/>
          <w:lang w:val="en-US" w:eastAsia="zh-CN"/>
        </w:rPr>
        <w:t>陕西省应急管理厅</w:t>
      </w:r>
    </w:p>
    <w:p w14:paraId="01688C5E">
      <w:pPr>
        <w:keepNext w:val="0"/>
        <w:keepLines w:val="0"/>
        <w:pageBreakBefore w:val="0"/>
        <w:widowControl/>
        <w:kinsoku/>
        <w:wordWrap w:val="0"/>
        <w:overflowPunct/>
        <w:topLinePunct w:val="0"/>
        <w:autoSpaceDE/>
        <w:autoSpaceDN/>
        <w:bidi w:val="0"/>
        <w:adjustRightInd/>
        <w:snapToGrid w:val="0"/>
        <w:spacing w:beforeAutospacing="0" w:after="0" w:afterAutospacing="0" w:line="288" w:lineRule="auto"/>
        <w:jc w:val="center"/>
        <w:textAlignment w:val="auto"/>
        <w:outlineLvl w:val="0"/>
        <w:rPr>
          <w:rFonts w:hint="eastAsia" w:ascii="仿宋" w:hAnsi="仿宋" w:eastAsia="仿宋" w:cs="宋体"/>
          <w:bCs/>
          <w:kern w:val="36"/>
          <w:sz w:val="36"/>
          <w:szCs w:val="36"/>
          <w:lang w:val="en-US" w:eastAsia="zh-CN"/>
        </w:rPr>
      </w:pPr>
      <w:r>
        <w:rPr>
          <w:rFonts w:hint="eastAsia" w:ascii="仿宋" w:hAnsi="仿宋" w:eastAsia="仿宋" w:cs="宋体"/>
          <w:bCs/>
          <w:kern w:val="36"/>
          <w:sz w:val="36"/>
          <w:szCs w:val="36"/>
          <w:lang w:val="en-US" w:eastAsia="zh-CN"/>
        </w:rPr>
        <w:t>安全生产预防和应急救援能力建设补助资金</w:t>
      </w:r>
    </w:p>
    <w:p w14:paraId="01FE6D01">
      <w:pPr>
        <w:keepNext w:val="0"/>
        <w:keepLines w:val="0"/>
        <w:pageBreakBefore w:val="0"/>
        <w:widowControl/>
        <w:kinsoku/>
        <w:wordWrap w:val="0"/>
        <w:overflowPunct/>
        <w:topLinePunct w:val="0"/>
        <w:autoSpaceDE/>
        <w:autoSpaceDN/>
        <w:bidi w:val="0"/>
        <w:adjustRightInd/>
        <w:snapToGrid w:val="0"/>
        <w:spacing w:beforeAutospacing="0" w:after="0" w:afterAutospacing="0" w:line="288" w:lineRule="auto"/>
        <w:jc w:val="center"/>
        <w:textAlignment w:val="auto"/>
        <w:outlineLvl w:val="0"/>
        <w:rPr>
          <w:rFonts w:hint="eastAsia" w:ascii="仿宋" w:hAnsi="仿宋" w:eastAsia="仿宋" w:cs="宋体"/>
          <w:bCs/>
          <w:kern w:val="36"/>
          <w:sz w:val="36"/>
          <w:szCs w:val="36"/>
          <w:lang w:val="en-US" w:eastAsia="zh-CN"/>
        </w:rPr>
      </w:pPr>
      <w:r>
        <w:rPr>
          <w:rFonts w:hint="eastAsia" w:ascii="仿宋" w:hAnsi="仿宋" w:eastAsia="仿宋" w:cs="宋体"/>
          <w:bCs/>
          <w:kern w:val="36"/>
          <w:sz w:val="36"/>
          <w:szCs w:val="36"/>
          <w:lang w:val="en-US" w:eastAsia="zh-CN"/>
        </w:rPr>
        <w:t>（安全生产应急救援力量建设支出）</w:t>
      </w:r>
    </w:p>
    <w:p w14:paraId="0ABF9C1F">
      <w:pPr>
        <w:keepNext w:val="0"/>
        <w:keepLines w:val="0"/>
        <w:pageBreakBefore w:val="0"/>
        <w:widowControl/>
        <w:kinsoku/>
        <w:wordWrap w:val="0"/>
        <w:overflowPunct/>
        <w:topLinePunct w:val="0"/>
        <w:autoSpaceDE/>
        <w:autoSpaceDN/>
        <w:bidi w:val="0"/>
        <w:adjustRightInd/>
        <w:snapToGrid w:val="0"/>
        <w:spacing w:beforeAutospacing="0" w:after="0" w:afterAutospacing="0" w:line="288" w:lineRule="auto"/>
        <w:jc w:val="center"/>
        <w:textAlignment w:val="auto"/>
        <w:outlineLvl w:val="0"/>
        <w:rPr>
          <w:rFonts w:hint="default" w:ascii="仿宋" w:hAnsi="仿宋" w:eastAsia="仿宋" w:cs="宋体"/>
          <w:bCs/>
          <w:kern w:val="36"/>
          <w:sz w:val="36"/>
          <w:szCs w:val="36"/>
          <w:lang w:val="en-US" w:eastAsia="zh-CN"/>
        </w:rPr>
      </w:pPr>
      <w:r>
        <w:rPr>
          <w:rFonts w:hint="eastAsia" w:ascii="仿宋" w:hAnsi="仿宋" w:eastAsia="仿宋" w:cs="宋体"/>
          <w:bCs/>
          <w:kern w:val="36"/>
          <w:sz w:val="36"/>
          <w:szCs w:val="36"/>
          <w:lang w:val="en-US" w:eastAsia="zh-CN"/>
        </w:rPr>
        <w:t>专项审计检查业务合同书</w:t>
      </w:r>
    </w:p>
    <w:p w14:paraId="5A04CD0B">
      <w:pPr>
        <w:pStyle w:val="9"/>
        <w:keepNext w:val="0"/>
        <w:keepLines w:val="0"/>
        <w:pageBreakBefore w:val="0"/>
        <w:widowControl/>
        <w:kinsoku/>
        <w:wordWrap w:val="0"/>
        <w:overflowPunct/>
        <w:topLinePunct w:val="0"/>
        <w:autoSpaceDE/>
        <w:autoSpaceDN/>
        <w:bidi w:val="0"/>
        <w:adjustRightInd/>
        <w:snapToGrid w:val="0"/>
        <w:spacing w:before="361" w:beforeLines="100" w:beforeAutospacing="0" w:after="0" w:afterAutospacing="0" w:line="360" w:lineRule="auto"/>
        <w:textAlignment w:val="auto"/>
        <w:rPr>
          <w:rFonts w:hint="default" w:ascii="仿宋" w:hAnsi="仿宋" w:eastAsia="仿宋" w:cs="仿宋"/>
          <w:sz w:val="28"/>
          <w:szCs w:val="28"/>
          <w:highlight w:val="none"/>
          <w:lang w:val="en-US" w:eastAsia="zh-CN"/>
        </w:rPr>
      </w:pPr>
      <w:r>
        <w:rPr>
          <w:rFonts w:hint="eastAsia" w:ascii="仿宋" w:hAnsi="仿宋" w:eastAsia="仿宋"/>
          <w:sz w:val="28"/>
          <w:szCs w:val="28"/>
        </w:rPr>
        <w:t>甲方：</w:t>
      </w:r>
      <w:r>
        <w:rPr>
          <w:rFonts w:hint="eastAsia" w:ascii="仿宋" w:hAnsi="仿宋" w:eastAsia="仿宋" w:cs="仿宋"/>
          <w:sz w:val="28"/>
          <w:szCs w:val="28"/>
          <w:highlight w:val="none"/>
          <w:lang w:val="en-US" w:eastAsia="zh-CN"/>
        </w:rPr>
        <w:t>陕西省应急管理厅</w:t>
      </w:r>
    </w:p>
    <w:p w14:paraId="48733FCA">
      <w:pPr>
        <w:pStyle w:val="9"/>
        <w:keepNext w:val="0"/>
        <w:keepLines w:val="0"/>
        <w:pageBreakBefore w:val="0"/>
        <w:widowControl/>
        <w:kinsoku/>
        <w:wordWrap w:val="0"/>
        <w:overflowPunct/>
        <w:topLinePunct w:val="0"/>
        <w:autoSpaceDE/>
        <w:autoSpaceDN/>
        <w:bidi w:val="0"/>
        <w:adjustRightInd/>
        <w:snapToGrid w:val="0"/>
        <w:spacing w:before="0" w:beforeAutospacing="0" w:after="0" w:afterAutospacing="0" w:line="360" w:lineRule="auto"/>
        <w:textAlignment w:val="auto"/>
        <w:rPr>
          <w:rFonts w:hint="default" w:ascii="仿宋" w:hAnsi="仿宋" w:eastAsia="仿宋"/>
          <w:sz w:val="28"/>
          <w:szCs w:val="28"/>
          <w:lang w:val="en-US" w:eastAsia="zh-CN"/>
        </w:rPr>
      </w:pPr>
      <w:r>
        <w:rPr>
          <w:rFonts w:hint="eastAsia" w:ascii="仿宋" w:hAnsi="仿宋" w:eastAsia="仿宋"/>
          <w:sz w:val="28"/>
          <w:szCs w:val="28"/>
        </w:rPr>
        <w:t>乙方：</w:t>
      </w:r>
      <w:r>
        <w:rPr>
          <w:rFonts w:hint="eastAsia" w:ascii="仿宋" w:hAnsi="仿宋" w:eastAsia="仿宋"/>
          <w:sz w:val="28"/>
          <w:szCs w:val="28"/>
          <w:lang w:val="en-US" w:eastAsia="zh-CN"/>
        </w:rPr>
        <w:t>陕西正源会计师事务所有限责任公司</w:t>
      </w:r>
    </w:p>
    <w:p w14:paraId="40658B02">
      <w:pPr>
        <w:pStyle w:val="9"/>
        <w:keepNext w:val="0"/>
        <w:keepLines w:val="0"/>
        <w:pageBreakBefore w:val="0"/>
        <w:widowControl/>
        <w:kinsoku/>
        <w:overflowPunct/>
        <w:topLinePunct w:val="0"/>
        <w:autoSpaceDE/>
        <w:autoSpaceDN/>
        <w:bidi w:val="0"/>
        <w:adjustRightInd/>
        <w:snapToGrid w:val="0"/>
        <w:spacing w:before="0" w:beforeAutospacing="0" w:after="0" w:afterAutospacing="0" w:line="360" w:lineRule="auto"/>
        <w:ind w:firstLine="420" w:firstLineChars="150"/>
        <w:textAlignment w:val="auto"/>
        <w:rPr>
          <w:rFonts w:hint="eastAsia" w:ascii="仿宋" w:hAnsi="仿宋" w:eastAsia="仿宋" w:cs="宋体"/>
          <w:sz w:val="28"/>
          <w:szCs w:val="28"/>
          <w:lang w:val="en-US" w:eastAsia="zh-CN"/>
        </w:rPr>
      </w:pPr>
      <w:r>
        <w:rPr>
          <w:rFonts w:hint="eastAsia" w:ascii="仿宋" w:hAnsi="仿宋" w:eastAsia="仿宋" w:cs="宋体"/>
          <w:sz w:val="28"/>
          <w:szCs w:val="28"/>
          <w:lang w:val="en-US" w:eastAsia="zh-CN"/>
        </w:rPr>
        <w:t>依据《中华人民共和国民法典》相关规定，甲乙双方就下述专项业务，遵循诚实信用的原则，经协商一致签订本合同。</w:t>
      </w:r>
    </w:p>
    <w:p w14:paraId="773E001E">
      <w:pPr>
        <w:pStyle w:val="9"/>
        <w:spacing w:before="0" w:beforeAutospacing="0" w:after="0" w:afterAutospacing="0" w:line="360" w:lineRule="auto"/>
        <w:ind w:firstLine="422" w:firstLineChars="150"/>
        <w:rPr>
          <w:rFonts w:hint="eastAsia" w:ascii="仿宋" w:hAnsi="仿宋" w:eastAsia="仿宋"/>
          <w:b/>
          <w:sz w:val="28"/>
          <w:szCs w:val="28"/>
        </w:rPr>
      </w:pPr>
      <w:r>
        <w:rPr>
          <w:rFonts w:hint="eastAsia" w:ascii="仿宋" w:hAnsi="仿宋" w:eastAsia="仿宋"/>
          <w:b/>
          <w:sz w:val="28"/>
          <w:szCs w:val="28"/>
        </w:rPr>
        <w:t>一、服务范围</w:t>
      </w:r>
    </w:p>
    <w:p w14:paraId="50911819">
      <w:pPr>
        <w:keepNext w:val="0"/>
        <w:keepLines w:val="0"/>
        <w:pageBreakBefore w:val="0"/>
        <w:widowControl w:val="0"/>
        <w:tabs>
          <w:tab w:val="left" w:pos="630"/>
          <w:tab w:val="left" w:pos="2100"/>
        </w:tabs>
        <w:kinsoku/>
        <w:wordWrap/>
        <w:overflowPunct/>
        <w:topLinePunct w:val="0"/>
        <w:autoSpaceDE/>
        <w:autoSpaceDN/>
        <w:bidi w:val="0"/>
        <w:adjustRightInd/>
        <w:snapToGrid w:val="0"/>
        <w:spacing w:after="0" w:line="360" w:lineRule="auto"/>
        <w:ind w:firstLine="560" w:firstLineChars="200"/>
        <w:jc w:val="both"/>
        <w:textAlignment w:val="auto"/>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乙方接受甲方委托，根据《安全生产预防和应急救援能力建设补助资金管理办法》（财资环〔2022〕93号）《陕西省安全生产预防和应急救援能力建设补助资金管理实施办法》（陕财办资环〔2023〕19号）的规定，对3支国家应急救援队伍依托单位（陕西煤业化工集团有限责任公司、中国石油长庆油田分公司、中煤陕西能源化工集团有限公司），2023-2024年度中央下达的安全生产预防和应急救援能力建设补助资金（安全生产应急救援力量建设支出）的使用和管理情况、装备采购和资产管理情况、绩效目标完成情况等进行现场审计检查，并出具中央专项资金检查报告，揭示各项目资金使用单位在中央财政资金使用，建设过程管理、产出目标达成、资产使用效益、财务规范核算等方面存在的管理漏洞，从资金使用绩效与项目过程管理方面提出清晰明确、有建设性的管理意见，促进项目管理与中央财政专项资金使用效益的提高。</w:t>
      </w:r>
    </w:p>
    <w:p w14:paraId="04D31F6D">
      <w:pPr>
        <w:pStyle w:val="9"/>
        <w:spacing w:before="0" w:beforeAutospacing="0" w:after="0" w:afterAutospacing="0" w:line="360" w:lineRule="auto"/>
        <w:ind w:firstLine="422" w:firstLineChars="150"/>
        <w:rPr>
          <w:rFonts w:hint="eastAsia" w:ascii="仿宋" w:hAnsi="仿宋" w:eastAsia="仿宋" w:cs="宋体"/>
          <w:b/>
          <w:sz w:val="28"/>
          <w:szCs w:val="28"/>
        </w:rPr>
      </w:pPr>
      <w:r>
        <w:rPr>
          <w:rFonts w:hint="eastAsia" w:ascii="仿宋" w:hAnsi="仿宋" w:eastAsia="仿宋" w:cs="宋体"/>
          <w:b/>
          <w:sz w:val="28"/>
          <w:szCs w:val="28"/>
        </w:rPr>
        <w:t>二、服务期间（项目完成期限）及收费</w:t>
      </w:r>
    </w:p>
    <w:p w14:paraId="5578BFF6">
      <w:pPr>
        <w:pStyle w:val="9"/>
        <w:spacing w:before="0" w:beforeAutospacing="0" w:after="0" w:afterAutospacing="0" w:line="360" w:lineRule="auto"/>
        <w:ind w:firstLine="422" w:firstLineChars="151"/>
        <w:rPr>
          <w:rFonts w:hint="eastAsia" w:ascii="仿宋" w:hAnsi="仿宋" w:eastAsia="仿宋"/>
          <w:sz w:val="28"/>
          <w:szCs w:val="28"/>
        </w:rPr>
      </w:pPr>
      <w:r>
        <w:rPr>
          <w:rFonts w:hint="eastAsia" w:ascii="仿宋" w:hAnsi="仿宋" w:eastAsia="仿宋"/>
          <w:sz w:val="28"/>
          <w:szCs w:val="28"/>
        </w:rPr>
        <w:t>（一）委托服务期间：自业务承接日起至</w:t>
      </w:r>
      <w:r>
        <w:rPr>
          <w:rFonts w:hint="eastAsia" w:ascii="仿宋" w:hAnsi="仿宋" w:eastAsia="仿宋"/>
          <w:sz w:val="28"/>
          <w:szCs w:val="28"/>
          <w:lang w:val="en-US" w:eastAsia="zh-CN"/>
        </w:rPr>
        <w:t>甲方要求的报告提交日止</w:t>
      </w:r>
      <w:r>
        <w:rPr>
          <w:rFonts w:hint="eastAsia" w:ascii="仿宋" w:hAnsi="仿宋" w:eastAsia="仿宋"/>
          <w:sz w:val="28"/>
          <w:szCs w:val="28"/>
        </w:rPr>
        <w:t>。</w:t>
      </w:r>
    </w:p>
    <w:p w14:paraId="7EABFDF0">
      <w:pPr>
        <w:pStyle w:val="9"/>
        <w:spacing w:before="0" w:beforeAutospacing="0" w:after="0" w:afterAutospacing="0" w:line="360" w:lineRule="auto"/>
        <w:ind w:firstLine="422" w:firstLineChars="151"/>
        <w:jc w:val="both"/>
        <w:rPr>
          <w:rFonts w:hint="eastAsia" w:ascii="仿宋" w:hAnsi="仿宋" w:eastAsia="仿宋"/>
          <w:b/>
          <w:sz w:val="28"/>
          <w:szCs w:val="28"/>
        </w:rPr>
      </w:pPr>
      <w:r>
        <w:rPr>
          <w:rFonts w:hint="eastAsia" w:ascii="仿宋" w:hAnsi="仿宋" w:eastAsia="仿宋"/>
          <w:sz w:val="28"/>
          <w:szCs w:val="28"/>
        </w:rPr>
        <w:t>（二）结合实际情况</w:t>
      </w:r>
      <w:r>
        <w:rPr>
          <w:rFonts w:hint="eastAsia" w:ascii="仿宋" w:hAnsi="仿宋" w:eastAsia="仿宋"/>
          <w:sz w:val="28"/>
          <w:szCs w:val="28"/>
          <w:lang w:eastAsia="zh-CN"/>
        </w:rPr>
        <w:t>，</w:t>
      </w:r>
      <w:r>
        <w:rPr>
          <w:rFonts w:hint="eastAsia" w:ascii="仿宋" w:hAnsi="仿宋" w:eastAsia="仿宋"/>
          <w:sz w:val="28"/>
          <w:szCs w:val="28"/>
          <w:lang w:val="en-US" w:eastAsia="zh-CN"/>
        </w:rPr>
        <w:t>经双方协商，</w:t>
      </w:r>
      <w:r>
        <w:rPr>
          <w:rFonts w:hint="eastAsia" w:ascii="仿宋" w:hAnsi="仿宋" w:eastAsia="仿宋"/>
          <w:sz w:val="28"/>
          <w:szCs w:val="28"/>
        </w:rPr>
        <w:t>确定</w:t>
      </w:r>
      <w:r>
        <w:rPr>
          <w:rFonts w:hint="eastAsia" w:ascii="仿宋" w:hAnsi="仿宋" w:eastAsia="仿宋"/>
          <w:sz w:val="28"/>
          <w:szCs w:val="28"/>
          <w:lang w:val="en-US" w:eastAsia="zh-CN"/>
        </w:rPr>
        <w:t>此</w:t>
      </w:r>
      <w:r>
        <w:rPr>
          <w:rFonts w:hint="eastAsia" w:ascii="仿宋" w:hAnsi="仿宋" w:eastAsia="仿宋"/>
          <w:sz w:val="28"/>
          <w:szCs w:val="28"/>
        </w:rPr>
        <w:t>业务收费为人民币</w:t>
      </w:r>
      <w:r>
        <w:rPr>
          <w:rFonts w:hint="eastAsia" w:ascii="仿宋" w:hAnsi="仿宋" w:eastAsia="仿宋"/>
          <w:sz w:val="28"/>
          <w:szCs w:val="28"/>
          <w:u w:val="single"/>
          <w:lang w:val="en-US" w:eastAsia="zh-CN"/>
        </w:rPr>
        <w:t>50</w:t>
      </w:r>
      <w:r>
        <w:rPr>
          <w:rFonts w:hint="eastAsia" w:ascii="仿宋" w:hAnsi="仿宋" w:eastAsia="仿宋"/>
          <w:sz w:val="28"/>
          <w:szCs w:val="28"/>
          <w:u w:val="single"/>
        </w:rPr>
        <w:t>,000.00</w:t>
      </w:r>
      <w:r>
        <w:rPr>
          <w:rFonts w:hint="eastAsia" w:ascii="仿宋" w:hAnsi="仿宋" w:eastAsia="仿宋"/>
          <w:sz w:val="28"/>
          <w:szCs w:val="28"/>
        </w:rPr>
        <w:t>元（大写：</w:t>
      </w:r>
      <w:r>
        <w:rPr>
          <w:rFonts w:hint="eastAsia" w:ascii="仿宋" w:hAnsi="仿宋" w:eastAsia="仿宋"/>
          <w:sz w:val="28"/>
          <w:szCs w:val="28"/>
          <w:lang w:val="en-US" w:eastAsia="zh-CN"/>
        </w:rPr>
        <w:t>伍万元</w:t>
      </w:r>
      <w:r>
        <w:rPr>
          <w:rFonts w:hint="eastAsia" w:ascii="仿宋" w:hAnsi="仿宋" w:eastAsia="仿宋"/>
          <w:sz w:val="28"/>
          <w:szCs w:val="28"/>
        </w:rPr>
        <w:t>整）。</w:t>
      </w:r>
    </w:p>
    <w:p w14:paraId="6F219BF6">
      <w:pPr>
        <w:pStyle w:val="9"/>
        <w:spacing w:before="0" w:beforeAutospacing="0" w:after="0" w:afterAutospacing="0" w:line="360" w:lineRule="auto"/>
        <w:ind w:firstLine="422" w:firstLineChars="151"/>
        <w:rPr>
          <w:rFonts w:hint="default" w:ascii="仿宋" w:hAnsi="仿宋" w:eastAsia="仿宋"/>
          <w:sz w:val="28"/>
          <w:szCs w:val="28"/>
          <w:lang w:val="en-US" w:eastAsia="zh-CN"/>
        </w:rPr>
      </w:pPr>
      <w:r>
        <w:rPr>
          <w:rFonts w:hint="eastAsia" w:ascii="仿宋" w:hAnsi="仿宋" w:eastAsia="仿宋"/>
          <w:sz w:val="28"/>
          <w:szCs w:val="28"/>
        </w:rPr>
        <w:t>（三）</w:t>
      </w:r>
      <w:r>
        <w:rPr>
          <w:rFonts w:hint="eastAsia" w:ascii="仿宋" w:hAnsi="仿宋" w:eastAsia="仿宋"/>
          <w:sz w:val="28"/>
          <w:szCs w:val="28"/>
          <w:lang w:val="en-US" w:eastAsia="zh-CN"/>
        </w:rPr>
        <w:t>乙方出具正式报告，并提供合规增值税发票后</w:t>
      </w:r>
      <w:r>
        <w:rPr>
          <w:rFonts w:hint="eastAsia" w:ascii="仿宋" w:hAnsi="仿宋" w:eastAsia="仿宋"/>
          <w:sz w:val="28"/>
          <w:szCs w:val="28"/>
        </w:rPr>
        <w:t>，甲方一次付清</w:t>
      </w:r>
      <w:r>
        <w:rPr>
          <w:rFonts w:hint="eastAsia" w:ascii="仿宋" w:hAnsi="仿宋" w:eastAsia="仿宋"/>
          <w:sz w:val="28"/>
          <w:szCs w:val="28"/>
          <w:lang w:eastAsia="zh-CN"/>
        </w:rPr>
        <w:t>，</w:t>
      </w:r>
      <w:r>
        <w:rPr>
          <w:rFonts w:hint="eastAsia" w:ascii="仿宋" w:hAnsi="仿宋" w:eastAsia="仿宋"/>
          <w:sz w:val="28"/>
          <w:szCs w:val="28"/>
          <w:lang w:val="en-US" w:eastAsia="zh-CN"/>
        </w:rPr>
        <w:t>乙方收款帐户信息如下：</w:t>
      </w:r>
    </w:p>
    <w:p w14:paraId="152B4E32">
      <w:pPr>
        <w:pStyle w:val="9"/>
        <w:spacing w:before="0" w:beforeAutospacing="0" w:after="0" w:afterAutospacing="0" w:line="360" w:lineRule="auto"/>
        <w:ind w:left="332" w:leftChars="150" w:hanging="2" w:hangingChars="1"/>
        <w:rPr>
          <w:rFonts w:hint="default" w:ascii="仿宋" w:hAnsi="仿宋" w:eastAsia="仿宋"/>
          <w:sz w:val="28"/>
          <w:szCs w:val="28"/>
          <w:lang w:val="en-US" w:eastAsia="zh-CN"/>
        </w:rPr>
      </w:pPr>
      <w:r>
        <w:rPr>
          <w:rFonts w:hint="eastAsia" w:ascii="仿宋" w:hAnsi="仿宋" w:eastAsia="仿宋"/>
          <w:sz w:val="28"/>
          <w:szCs w:val="28"/>
          <w:lang w:val="en-US" w:eastAsia="zh-CN"/>
        </w:rPr>
        <w:t>公司名称：陕西正源会计师事务所有限责任公司</w:t>
      </w:r>
    </w:p>
    <w:p w14:paraId="1DBA6599">
      <w:pPr>
        <w:pStyle w:val="9"/>
        <w:spacing w:before="0" w:beforeAutospacing="0" w:after="0" w:afterAutospacing="0" w:line="360" w:lineRule="auto"/>
        <w:ind w:left="332" w:leftChars="150" w:hanging="2" w:hangingChars="1"/>
        <w:rPr>
          <w:rFonts w:hint="eastAsia" w:ascii="仿宋" w:hAnsi="仿宋" w:eastAsia="仿宋"/>
          <w:sz w:val="28"/>
          <w:szCs w:val="28"/>
          <w:lang w:val="en-US" w:eastAsia="zh-CN"/>
        </w:rPr>
      </w:pPr>
      <w:r>
        <w:rPr>
          <w:rFonts w:hint="eastAsia" w:ascii="仿宋" w:hAnsi="仿宋" w:eastAsia="仿宋"/>
          <w:sz w:val="28"/>
          <w:szCs w:val="28"/>
          <w:lang w:val="en-US" w:eastAsia="zh-CN"/>
        </w:rPr>
        <w:t>税务证号：91610000220521609C</w:t>
      </w:r>
    </w:p>
    <w:p w14:paraId="3FF920EC">
      <w:pPr>
        <w:pStyle w:val="9"/>
        <w:spacing w:before="0" w:beforeAutospacing="0" w:after="0" w:afterAutospacing="0" w:line="360" w:lineRule="auto"/>
        <w:ind w:left="332" w:leftChars="150" w:hanging="2" w:hangingChars="1"/>
        <w:rPr>
          <w:rFonts w:hint="eastAsia" w:ascii="仿宋" w:hAnsi="仿宋" w:eastAsia="仿宋"/>
          <w:sz w:val="28"/>
          <w:szCs w:val="28"/>
          <w:lang w:val="en-US" w:eastAsia="zh-CN"/>
        </w:rPr>
      </w:pPr>
      <w:r>
        <w:rPr>
          <w:rFonts w:hint="eastAsia" w:ascii="仿宋" w:hAnsi="仿宋" w:eastAsia="仿宋"/>
          <w:sz w:val="28"/>
          <w:szCs w:val="28"/>
          <w:lang w:val="en-US" w:eastAsia="zh-CN"/>
        </w:rPr>
        <w:t>地址：陕西省西安市碑林区长安北路113号大话南门（永宁国际）10712室</w:t>
      </w:r>
    </w:p>
    <w:p w14:paraId="7314DD87">
      <w:pPr>
        <w:pStyle w:val="9"/>
        <w:spacing w:before="0" w:beforeAutospacing="0" w:after="0" w:afterAutospacing="0" w:line="360" w:lineRule="auto"/>
        <w:ind w:left="332" w:leftChars="150" w:hanging="2" w:hangingChars="1"/>
        <w:rPr>
          <w:rFonts w:hint="default" w:ascii="仿宋" w:hAnsi="仿宋" w:eastAsia="仿宋"/>
          <w:sz w:val="28"/>
          <w:szCs w:val="28"/>
          <w:lang w:val="en-US" w:eastAsia="zh-CN"/>
        </w:rPr>
      </w:pPr>
      <w:r>
        <w:rPr>
          <w:rFonts w:hint="eastAsia" w:ascii="仿宋" w:hAnsi="仿宋" w:eastAsia="仿宋"/>
          <w:sz w:val="28"/>
          <w:szCs w:val="28"/>
          <w:lang w:val="en-US" w:eastAsia="zh-CN"/>
        </w:rPr>
        <w:t>开户行：建行陕西省分行营业部</w:t>
      </w:r>
    </w:p>
    <w:p w14:paraId="4E2C291F">
      <w:pPr>
        <w:pStyle w:val="9"/>
        <w:spacing w:before="0" w:beforeAutospacing="0" w:after="0" w:afterAutospacing="0" w:line="360" w:lineRule="auto"/>
        <w:ind w:left="332" w:leftChars="150" w:hanging="2" w:hangingChars="1"/>
        <w:rPr>
          <w:rFonts w:hint="eastAsia" w:ascii="仿宋" w:hAnsi="仿宋" w:eastAsia="仿宋"/>
          <w:sz w:val="28"/>
          <w:szCs w:val="28"/>
          <w:lang w:val="en-US" w:eastAsia="zh-CN"/>
        </w:rPr>
      </w:pPr>
      <w:r>
        <w:rPr>
          <w:rFonts w:hint="eastAsia" w:ascii="仿宋" w:hAnsi="仿宋" w:eastAsia="仿宋"/>
          <w:sz w:val="28"/>
          <w:szCs w:val="28"/>
          <w:lang w:val="en-US" w:eastAsia="zh-CN"/>
        </w:rPr>
        <w:t>账号：61001902900050000888</w:t>
      </w:r>
    </w:p>
    <w:p w14:paraId="234C1EE1">
      <w:pPr>
        <w:pStyle w:val="9"/>
        <w:spacing w:before="0" w:beforeAutospacing="0" w:after="0" w:afterAutospacing="0" w:line="360" w:lineRule="auto"/>
        <w:ind w:left="333" w:leftChars="150" w:hanging="3" w:hangingChars="1"/>
        <w:rPr>
          <w:rFonts w:ascii="仿宋" w:hAnsi="仿宋" w:eastAsia="仿宋"/>
          <w:b/>
          <w:sz w:val="28"/>
          <w:szCs w:val="28"/>
        </w:rPr>
      </w:pPr>
      <w:r>
        <w:rPr>
          <w:rFonts w:hint="eastAsia" w:ascii="仿宋" w:hAnsi="仿宋" w:eastAsia="仿宋"/>
          <w:b/>
          <w:sz w:val="28"/>
          <w:szCs w:val="28"/>
        </w:rPr>
        <w:t>三、甲方乙方的基本义务</w:t>
      </w:r>
    </w:p>
    <w:p w14:paraId="6471E718">
      <w:pPr>
        <w:pStyle w:val="9"/>
        <w:spacing w:before="0" w:beforeAutospacing="0" w:after="0" w:afterAutospacing="0" w:line="360" w:lineRule="auto"/>
        <w:ind w:firstLine="140" w:firstLineChars="50"/>
        <w:rPr>
          <w:rFonts w:ascii="仿宋" w:hAnsi="仿宋" w:eastAsia="仿宋"/>
          <w:sz w:val="28"/>
          <w:szCs w:val="28"/>
        </w:rPr>
      </w:pPr>
      <w:r>
        <w:rPr>
          <w:rFonts w:hint="eastAsia" w:ascii="仿宋" w:hAnsi="仿宋" w:eastAsia="仿宋"/>
          <w:sz w:val="28"/>
          <w:szCs w:val="28"/>
        </w:rPr>
        <w:t>（一）甲方的基本义务</w:t>
      </w:r>
    </w:p>
    <w:p w14:paraId="6115B8A6">
      <w:pPr>
        <w:pStyle w:val="9"/>
        <w:spacing w:before="0" w:beforeAutospacing="0" w:after="0" w:afterAutospacing="0" w:line="360" w:lineRule="auto"/>
        <w:ind w:firstLine="280" w:firstLineChars="100"/>
        <w:rPr>
          <w:rFonts w:hint="eastAsia" w:ascii="仿宋" w:hAnsi="仿宋" w:eastAsia="仿宋"/>
          <w:sz w:val="28"/>
          <w:szCs w:val="28"/>
        </w:rPr>
      </w:pPr>
      <w:r>
        <w:rPr>
          <w:rFonts w:hint="eastAsia" w:ascii="仿宋" w:hAnsi="仿宋" w:eastAsia="仿宋"/>
          <w:sz w:val="28"/>
          <w:szCs w:val="28"/>
        </w:rPr>
        <w:t>1、与乙方诚信合作，为乙方开展工作提供便利，向乙方提供与</w:t>
      </w:r>
      <w:r>
        <w:rPr>
          <w:rFonts w:hint="eastAsia" w:ascii="仿宋" w:hAnsi="仿宋" w:eastAsia="仿宋"/>
          <w:sz w:val="28"/>
          <w:szCs w:val="28"/>
          <w:lang w:val="en-US" w:eastAsia="zh-CN"/>
        </w:rPr>
        <w:t>审计检查</w:t>
      </w:r>
      <w:r>
        <w:rPr>
          <w:rFonts w:hint="eastAsia" w:ascii="仿宋" w:hAnsi="仿宋" w:eastAsia="仿宋"/>
          <w:sz w:val="28"/>
          <w:szCs w:val="28"/>
        </w:rPr>
        <w:t>事项相关的文件资料及相关制度。</w:t>
      </w:r>
    </w:p>
    <w:p w14:paraId="7F8B43B8">
      <w:pPr>
        <w:pStyle w:val="9"/>
        <w:spacing w:before="0" w:beforeAutospacing="0" w:after="0" w:afterAutospacing="0" w:line="360" w:lineRule="auto"/>
        <w:ind w:firstLine="280" w:firstLineChars="100"/>
        <w:rPr>
          <w:rFonts w:ascii="仿宋" w:hAnsi="仿宋" w:eastAsia="仿宋"/>
          <w:sz w:val="28"/>
          <w:szCs w:val="28"/>
        </w:rPr>
      </w:pPr>
      <w:r>
        <w:rPr>
          <w:rFonts w:hint="eastAsia" w:ascii="仿宋" w:hAnsi="仿宋" w:eastAsia="仿宋"/>
          <w:sz w:val="28"/>
          <w:szCs w:val="28"/>
        </w:rPr>
        <w:t>2、如有关的情况和事实发生变化，应及时告知乙方。</w:t>
      </w:r>
    </w:p>
    <w:p w14:paraId="77E94CA7">
      <w:pPr>
        <w:pStyle w:val="9"/>
        <w:spacing w:before="0" w:beforeAutospacing="0" w:after="0" w:afterAutospacing="0" w:line="360" w:lineRule="auto"/>
        <w:ind w:firstLine="280" w:firstLineChars="100"/>
        <w:rPr>
          <w:rFonts w:ascii="仿宋" w:hAnsi="仿宋" w:eastAsia="仿宋"/>
          <w:sz w:val="28"/>
          <w:szCs w:val="28"/>
        </w:rPr>
      </w:pPr>
      <w:r>
        <w:rPr>
          <w:rFonts w:hint="eastAsia" w:ascii="仿宋" w:hAnsi="仿宋" w:eastAsia="仿宋"/>
          <w:sz w:val="28"/>
          <w:szCs w:val="28"/>
        </w:rPr>
        <w:t>3、按照约定支付</w:t>
      </w:r>
      <w:r>
        <w:rPr>
          <w:rFonts w:hint="eastAsia" w:ascii="仿宋" w:hAnsi="仿宋" w:eastAsia="仿宋"/>
          <w:sz w:val="28"/>
          <w:szCs w:val="28"/>
          <w:lang w:val="en-US" w:eastAsia="zh-CN"/>
        </w:rPr>
        <w:t>业务</w:t>
      </w:r>
      <w:r>
        <w:rPr>
          <w:rFonts w:hint="eastAsia" w:ascii="仿宋" w:hAnsi="仿宋" w:eastAsia="仿宋"/>
          <w:sz w:val="28"/>
          <w:szCs w:val="28"/>
        </w:rPr>
        <w:t>费，并为乙方开展工作提供必要的办公条件。</w:t>
      </w:r>
    </w:p>
    <w:p w14:paraId="0521544F">
      <w:pPr>
        <w:pStyle w:val="9"/>
        <w:spacing w:before="0" w:beforeAutospacing="0" w:after="0" w:afterAutospacing="0" w:line="360" w:lineRule="auto"/>
        <w:ind w:firstLine="280" w:firstLineChars="100"/>
        <w:rPr>
          <w:rFonts w:ascii="仿宋" w:hAnsi="仿宋" w:eastAsia="仿宋"/>
          <w:sz w:val="28"/>
          <w:szCs w:val="28"/>
        </w:rPr>
      </w:pPr>
      <w:r>
        <w:rPr>
          <w:rFonts w:hint="eastAsia" w:ascii="仿宋" w:hAnsi="仿宋" w:eastAsia="仿宋"/>
          <w:sz w:val="28"/>
          <w:szCs w:val="28"/>
        </w:rPr>
        <w:t>4、向乙方提出的要求不应与法律及会计职业道德和职业纪律的规定相冲突。</w:t>
      </w:r>
    </w:p>
    <w:p w14:paraId="36BCADE4">
      <w:pPr>
        <w:pStyle w:val="9"/>
        <w:spacing w:before="0" w:beforeAutospacing="0" w:after="0" w:afterAutospacing="0" w:line="360" w:lineRule="auto"/>
        <w:rPr>
          <w:rFonts w:ascii="仿宋" w:hAnsi="仿宋" w:eastAsia="仿宋"/>
          <w:sz w:val="28"/>
          <w:szCs w:val="28"/>
        </w:rPr>
      </w:pPr>
      <w:r>
        <w:rPr>
          <w:rFonts w:hint="eastAsia" w:ascii="仿宋" w:hAnsi="仿宋" w:eastAsia="仿宋"/>
          <w:sz w:val="28"/>
          <w:szCs w:val="28"/>
        </w:rPr>
        <w:t>（二）乙方的基本义务</w:t>
      </w:r>
    </w:p>
    <w:p w14:paraId="09196DE0">
      <w:pPr>
        <w:pStyle w:val="9"/>
        <w:spacing w:before="0" w:beforeAutospacing="0" w:after="0" w:afterAutospacing="0" w:line="360" w:lineRule="auto"/>
        <w:ind w:firstLine="280" w:firstLineChars="100"/>
        <w:rPr>
          <w:rFonts w:ascii="仿宋" w:hAnsi="仿宋" w:eastAsia="仿宋"/>
          <w:sz w:val="28"/>
          <w:szCs w:val="28"/>
        </w:rPr>
      </w:pPr>
      <w:r>
        <w:rPr>
          <w:rFonts w:hint="eastAsia" w:ascii="仿宋" w:hAnsi="仿宋" w:eastAsia="仿宋"/>
          <w:sz w:val="28"/>
          <w:szCs w:val="28"/>
        </w:rPr>
        <w:t>1、遵守职业道德和执业纪律。</w:t>
      </w:r>
    </w:p>
    <w:p w14:paraId="4166646A">
      <w:pPr>
        <w:pStyle w:val="9"/>
        <w:spacing w:before="0" w:beforeAutospacing="0" w:after="0" w:afterAutospacing="0" w:line="360" w:lineRule="auto"/>
        <w:ind w:firstLine="280" w:firstLineChars="100"/>
        <w:rPr>
          <w:rFonts w:hint="eastAsia" w:ascii="仿宋" w:hAnsi="仿宋" w:eastAsia="仿宋"/>
          <w:sz w:val="28"/>
          <w:szCs w:val="28"/>
          <w:lang w:val="en-US" w:eastAsia="zh-CN"/>
        </w:rPr>
      </w:pPr>
      <w:r>
        <w:rPr>
          <w:rFonts w:hint="eastAsia" w:ascii="仿宋" w:hAnsi="仿宋" w:eastAsia="仿宋"/>
          <w:sz w:val="28"/>
          <w:szCs w:val="28"/>
        </w:rPr>
        <w:t>2、勤勉尽职，依法</w:t>
      </w:r>
      <w:r>
        <w:rPr>
          <w:rFonts w:hint="eastAsia" w:ascii="仿宋" w:hAnsi="仿宋" w:eastAsia="仿宋"/>
          <w:sz w:val="28"/>
          <w:szCs w:val="28"/>
          <w:lang w:val="en-US" w:eastAsia="zh-CN"/>
        </w:rPr>
        <w:t>依规完成约定事项。</w:t>
      </w:r>
    </w:p>
    <w:p w14:paraId="4171DD35">
      <w:pPr>
        <w:pStyle w:val="9"/>
        <w:spacing w:before="0" w:beforeAutospacing="0" w:after="0" w:afterAutospacing="0" w:line="360" w:lineRule="auto"/>
        <w:ind w:firstLine="280" w:firstLineChars="100"/>
        <w:rPr>
          <w:rFonts w:hint="eastAsia" w:ascii="仿宋" w:hAnsi="仿宋" w:eastAsia="仿宋"/>
          <w:sz w:val="28"/>
          <w:szCs w:val="28"/>
        </w:rPr>
      </w:pPr>
      <w:r>
        <w:rPr>
          <w:rFonts w:hint="eastAsia" w:ascii="仿宋" w:hAnsi="仿宋" w:eastAsia="仿宋"/>
          <w:sz w:val="28"/>
          <w:szCs w:val="28"/>
        </w:rPr>
        <w:t>3、及时向甲方发表</w:t>
      </w:r>
      <w:r>
        <w:rPr>
          <w:rFonts w:hint="eastAsia" w:ascii="仿宋" w:hAnsi="仿宋" w:eastAsia="仿宋"/>
          <w:sz w:val="28"/>
          <w:szCs w:val="28"/>
          <w:lang w:val="en-US" w:eastAsia="zh-CN"/>
        </w:rPr>
        <w:t>审计检查</w:t>
      </w:r>
      <w:r>
        <w:rPr>
          <w:rFonts w:hint="eastAsia" w:ascii="仿宋" w:hAnsi="仿宋" w:eastAsia="仿宋"/>
          <w:sz w:val="28"/>
          <w:szCs w:val="28"/>
        </w:rPr>
        <w:t>意见。</w:t>
      </w:r>
    </w:p>
    <w:p w14:paraId="267DDC96">
      <w:pPr>
        <w:pStyle w:val="9"/>
        <w:spacing w:before="0" w:beforeAutospacing="0" w:after="0" w:afterAutospacing="0" w:line="360" w:lineRule="auto"/>
        <w:ind w:firstLine="280" w:firstLineChars="100"/>
        <w:rPr>
          <w:rFonts w:hint="eastAsia" w:ascii="仿宋" w:hAnsi="仿宋" w:eastAsia="仿宋"/>
          <w:sz w:val="28"/>
          <w:szCs w:val="28"/>
        </w:rPr>
      </w:pPr>
      <w:r>
        <w:rPr>
          <w:rFonts w:hint="eastAsia" w:ascii="仿宋" w:hAnsi="仿宋" w:eastAsia="仿宋"/>
          <w:sz w:val="28"/>
          <w:szCs w:val="28"/>
        </w:rPr>
        <w:t>4、对甲方的商业秘密或个人隐私保守秘密。</w:t>
      </w:r>
    </w:p>
    <w:p w14:paraId="75AE5D8E">
      <w:pPr>
        <w:pStyle w:val="9"/>
        <w:spacing w:before="0" w:beforeAutospacing="0" w:after="0" w:afterAutospacing="0" w:line="360" w:lineRule="auto"/>
        <w:ind w:firstLine="141" w:firstLineChars="50"/>
        <w:rPr>
          <w:rFonts w:hint="eastAsia" w:ascii="仿宋" w:hAnsi="仿宋" w:eastAsia="仿宋"/>
          <w:b/>
          <w:sz w:val="28"/>
          <w:szCs w:val="28"/>
        </w:rPr>
      </w:pPr>
      <w:r>
        <w:rPr>
          <w:rFonts w:hint="eastAsia" w:ascii="仿宋" w:hAnsi="仿宋" w:eastAsia="仿宋"/>
          <w:b/>
          <w:sz w:val="28"/>
          <w:szCs w:val="28"/>
        </w:rPr>
        <w:t>四、生效、违约处理及其他约定事项</w:t>
      </w:r>
    </w:p>
    <w:p w14:paraId="17AB0805">
      <w:pPr>
        <w:pStyle w:val="9"/>
        <w:spacing w:before="0" w:beforeAutospacing="0" w:after="0" w:afterAutospacing="0" w:line="360" w:lineRule="auto"/>
        <w:ind w:firstLine="140" w:firstLineChars="50"/>
        <w:rPr>
          <w:rFonts w:hint="eastAsia" w:ascii="仿宋" w:hAnsi="仿宋" w:eastAsia="仿宋"/>
          <w:b/>
          <w:sz w:val="28"/>
          <w:szCs w:val="28"/>
        </w:rPr>
      </w:pPr>
      <w:r>
        <w:rPr>
          <w:rFonts w:hint="eastAsia" w:ascii="仿宋" w:hAnsi="仿宋" w:eastAsia="仿宋"/>
          <w:sz w:val="28"/>
          <w:szCs w:val="28"/>
        </w:rPr>
        <w:t>（一）本</w:t>
      </w:r>
      <w:r>
        <w:rPr>
          <w:rFonts w:hint="eastAsia" w:ascii="仿宋" w:hAnsi="仿宋" w:eastAsia="仿宋"/>
          <w:sz w:val="28"/>
          <w:szCs w:val="28"/>
          <w:lang w:val="en-US" w:eastAsia="zh-CN"/>
        </w:rPr>
        <w:t>合同</w:t>
      </w:r>
      <w:r>
        <w:rPr>
          <w:rFonts w:hint="eastAsia" w:ascii="仿宋" w:hAnsi="仿宋" w:eastAsia="仿宋"/>
          <w:sz w:val="28"/>
          <w:szCs w:val="28"/>
        </w:rPr>
        <w:t>书</w:t>
      </w:r>
      <w:r>
        <w:rPr>
          <w:rFonts w:hint="eastAsia" w:ascii="仿宋" w:hAnsi="仿宋" w:eastAsia="仿宋"/>
          <w:sz w:val="28"/>
          <w:szCs w:val="28"/>
          <w:lang w:val="en-US" w:eastAsia="zh-CN"/>
        </w:rPr>
        <w:t>自</w:t>
      </w:r>
      <w:r>
        <w:rPr>
          <w:rFonts w:hint="eastAsia" w:ascii="仿宋" w:hAnsi="仿宋" w:eastAsia="仿宋"/>
          <w:sz w:val="28"/>
          <w:szCs w:val="28"/>
        </w:rPr>
        <w:t>签字盖章</w:t>
      </w:r>
      <w:r>
        <w:rPr>
          <w:rFonts w:hint="eastAsia" w:ascii="仿宋" w:hAnsi="仿宋" w:eastAsia="仿宋"/>
          <w:sz w:val="28"/>
          <w:szCs w:val="28"/>
          <w:lang w:val="en-US" w:eastAsia="zh-CN"/>
        </w:rPr>
        <w:t>时</w:t>
      </w:r>
      <w:r>
        <w:rPr>
          <w:rFonts w:hint="eastAsia" w:ascii="仿宋" w:hAnsi="仿宋" w:eastAsia="仿宋"/>
          <w:sz w:val="28"/>
          <w:szCs w:val="28"/>
        </w:rPr>
        <w:t>生效。</w:t>
      </w:r>
    </w:p>
    <w:p w14:paraId="19382C4E">
      <w:pPr>
        <w:pStyle w:val="9"/>
        <w:spacing w:before="0" w:beforeAutospacing="0" w:after="0" w:afterAutospacing="0" w:line="360" w:lineRule="auto"/>
        <w:ind w:firstLine="140" w:firstLineChars="50"/>
        <w:rPr>
          <w:rFonts w:hint="eastAsia" w:ascii="仿宋" w:hAnsi="仿宋" w:eastAsia="仿宋"/>
          <w:b/>
          <w:sz w:val="28"/>
          <w:szCs w:val="28"/>
        </w:rPr>
      </w:pPr>
      <w:r>
        <w:rPr>
          <w:rFonts w:hint="eastAsia" w:ascii="仿宋" w:hAnsi="仿宋" w:eastAsia="仿宋"/>
          <w:sz w:val="28"/>
          <w:szCs w:val="28"/>
        </w:rPr>
        <w:t>（二）本</w:t>
      </w:r>
      <w:r>
        <w:rPr>
          <w:rFonts w:hint="eastAsia" w:ascii="仿宋" w:hAnsi="仿宋" w:eastAsia="仿宋"/>
          <w:sz w:val="28"/>
          <w:szCs w:val="28"/>
          <w:lang w:val="en-US" w:eastAsia="zh-CN"/>
        </w:rPr>
        <w:t>合同</w:t>
      </w:r>
      <w:r>
        <w:rPr>
          <w:rFonts w:hint="eastAsia" w:ascii="仿宋" w:hAnsi="仿宋" w:eastAsia="仿宋"/>
          <w:sz w:val="28"/>
          <w:szCs w:val="28"/>
        </w:rPr>
        <w:t>书未尽事宜，甲乙双方应持积极态度友好协商解决。双方之间发生争议的，应当进行协商或由第三方调解，在无法通过协商和调解方式的情况下，任何一方均可向人民法院起诉。</w:t>
      </w:r>
    </w:p>
    <w:p w14:paraId="7422D7BE">
      <w:pPr>
        <w:pStyle w:val="9"/>
        <w:spacing w:before="0" w:beforeAutospacing="0" w:after="0" w:afterAutospacing="0" w:line="360" w:lineRule="auto"/>
        <w:ind w:firstLine="140" w:firstLineChars="50"/>
        <w:rPr>
          <w:rFonts w:hint="eastAsia" w:ascii="仿宋" w:hAnsi="仿宋" w:eastAsia="仿宋"/>
          <w:sz w:val="28"/>
          <w:szCs w:val="28"/>
        </w:rPr>
      </w:pPr>
      <w:r>
        <w:rPr>
          <w:rFonts w:hint="eastAsia" w:ascii="仿宋" w:hAnsi="仿宋" w:eastAsia="仿宋"/>
          <w:sz w:val="28"/>
          <w:szCs w:val="28"/>
        </w:rPr>
        <w:t>（</w:t>
      </w:r>
      <w:r>
        <w:rPr>
          <w:rFonts w:hint="eastAsia" w:ascii="仿宋" w:hAnsi="仿宋" w:eastAsia="仿宋"/>
          <w:sz w:val="28"/>
          <w:szCs w:val="28"/>
          <w:lang w:val="en-US" w:eastAsia="zh-CN"/>
        </w:rPr>
        <w:t>三</w:t>
      </w:r>
      <w:r>
        <w:rPr>
          <w:rFonts w:hint="eastAsia" w:ascii="仿宋" w:hAnsi="仿宋" w:eastAsia="仿宋"/>
          <w:sz w:val="28"/>
          <w:szCs w:val="28"/>
        </w:rPr>
        <w:t>）本</w:t>
      </w:r>
      <w:r>
        <w:rPr>
          <w:rFonts w:hint="eastAsia" w:ascii="仿宋" w:hAnsi="仿宋" w:eastAsia="仿宋"/>
          <w:sz w:val="28"/>
          <w:szCs w:val="28"/>
          <w:lang w:val="en-US" w:eastAsia="zh-CN"/>
        </w:rPr>
        <w:t>合同</w:t>
      </w:r>
      <w:r>
        <w:rPr>
          <w:rFonts w:hint="eastAsia" w:ascii="仿宋" w:hAnsi="仿宋" w:eastAsia="仿宋"/>
          <w:sz w:val="28"/>
          <w:szCs w:val="28"/>
        </w:rPr>
        <w:t>书一式</w:t>
      </w:r>
      <w:r>
        <w:rPr>
          <w:rFonts w:hint="eastAsia" w:ascii="仿宋" w:hAnsi="仿宋" w:eastAsia="仿宋"/>
          <w:sz w:val="28"/>
          <w:szCs w:val="28"/>
          <w:lang w:val="en-US" w:eastAsia="zh-CN"/>
        </w:rPr>
        <w:t>肆</w:t>
      </w:r>
      <w:r>
        <w:rPr>
          <w:rFonts w:hint="eastAsia" w:ascii="仿宋" w:hAnsi="仿宋" w:eastAsia="仿宋"/>
          <w:sz w:val="28"/>
          <w:szCs w:val="28"/>
        </w:rPr>
        <w:t>份，甲方</w:t>
      </w:r>
      <w:r>
        <w:rPr>
          <w:rFonts w:hint="eastAsia" w:ascii="仿宋" w:hAnsi="仿宋" w:eastAsia="仿宋"/>
          <w:sz w:val="28"/>
          <w:szCs w:val="28"/>
          <w:lang w:val="en-US" w:eastAsia="zh-CN"/>
        </w:rPr>
        <w:t>贰</w:t>
      </w:r>
      <w:r>
        <w:rPr>
          <w:rFonts w:hint="eastAsia" w:ascii="仿宋" w:hAnsi="仿宋" w:eastAsia="仿宋"/>
          <w:sz w:val="28"/>
          <w:szCs w:val="28"/>
        </w:rPr>
        <w:t>份，乙方</w:t>
      </w:r>
      <w:r>
        <w:rPr>
          <w:rFonts w:hint="eastAsia" w:ascii="仿宋" w:hAnsi="仿宋" w:eastAsia="仿宋"/>
          <w:sz w:val="28"/>
          <w:szCs w:val="28"/>
          <w:lang w:val="en-US" w:eastAsia="zh-CN"/>
        </w:rPr>
        <w:t>贰</w:t>
      </w:r>
      <w:r>
        <w:rPr>
          <w:rFonts w:hint="eastAsia" w:ascii="仿宋" w:hAnsi="仿宋" w:eastAsia="仿宋"/>
          <w:sz w:val="28"/>
          <w:szCs w:val="28"/>
        </w:rPr>
        <w:t>份，具有同等法律效力。</w:t>
      </w:r>
    </w:p>
    <w:p w14:paraId="42F5CB30">
      <w:pPr>
        <w:pStyle w:val="9"/>
        <w:spacing w:before="0" w:beforeAutospacing="0" w:after="0" w:afterAutospacing="0" w:line="360" w:lineRule="auto"/>
        <w:ind w:firstLine="140" w:firstLineChars="50"/>
        <w:rPr>
          <w:rFonts w:hint="default" w:ascii="仿宋" w:hAnsi="仿宋" w:eastAsia="仿宋"/>
          <w:sz w:val="28"/>
          <w:szCs w:val="28"/>
          <w:lang w:val="en-US" w:eastAsia="zh-CN"/>
        </w:rPr>
      </w:pPr>
      <w:r>
        <w:rPr>
          <w:rFonts w:hint="eastAsia" w:ascii="仿宋" w:hAnsi="仿宋" w:eastAsia="仿宋"/>
          <w:sz w:val="28"/>
          <w:szCs w:val="28"/>
          <w:lang w:eastAsia="zh-CN"/>
        </w:rPr>
        <w:t>（</w:t>
      </w:r>
      <w:r>
        <w:rPr>
          <w:rFonts w:hint="eastAsia" w:ascii="仿宋" w:hAnsi="仿宋" w:eastAsia="仿宋"/>
          <w:sz w:val="28"/>
          <w:szCs w:val="28"/>
          <w:lang w:val="en-US" w:eastAsia="zh-CN"/>
        </w:rPr>
        <w:t>此页无正文）</w:t>
      </w:r>
    </w:p>
    <w:p w14:paraId="661B3670">
      <w:pPr>
        <w:ind w:left="5500" w:hanging="5500" w:hangingChars="2500"/>
        <w:jc w:val="both"/>
        <w:rPr>
          <w:rFonts w:hint="eastAsia" w:ascii="仿宋" w:hAnsi="仿宋" w:eastAsia="仿宋"/>
          <w:sz w:val="28"/>
          <w:szCs w:val="28"/>
          <w:lang w:val="en-US" w:eastAsia="zh-CN"/>
        </w:rPr>
      </w:pPr>
      <w:r>
        <w:rPr>
          <w:rFonts w:hint="eastAsia" w:asciiTheme="minorEastAsia" w:hAnsiTheme="minorEastAsia" w:eastAsiaTheme="minorEastAsia"/>
        </w:rPr>
        <w:t>　</w:t>
      </w:r>
      <w:r>
        <w:rPr>
          <w:rFonts w:hint="eastAsia" w:ascii="仿宋" w:hAnsi="仿宋" w:eastAsia="仿宋"/>
          <w:sz w:val="28"/>
          <w:szCs w:val="28"/>
        </w:rPr>
        <w:t>甲方：</w:t>
      </w:r>
      <w:r>
        <w:rPr>
          <w:rFonts w:hint="eastAsia" w:ascii="仿宋" w:hAnsi="仿宋" w:eastAsia="仿宋" w:cs="仿宋"/>
          <w:sz w:val="28"/>
          <w:szCs w:val="28"/>
          <w:highlight w:val="none"/>
          <w:lang w:val="en-US" w:eastAsia="zh-CN"/>
        </w:rPr>
        <w:t>陕西省应急管理厅</w:t>
      </w:r>
      <w:r>
        <w:rPr>
          <w:rFonts w:hint="eastAsia" w:ascii="仿宋" w:hAnsi="仿宋" w:eastAsia="仿宋"/>
          <w:sz w:val="28"/>
          <w:szCs w:val="28"/>
        </w:rPr>
        <w:t xml:space="preserve">   </w:t>
      </w:r>
      <w:r>
        <w:rPr>
          <w:rFonts w:hint="eastAsia" w:ascii="仿宋" w:hAnsi="仿宋" w:eastAsia="仿宋"/>
          <w:sz w:val="28"/>
          <w:szCs w:val="28"/>
          <w:lang w:val="en-US" w:eastAsia="zh-CN"/>
        </w:rPr>
        <w:t xml:space="preserve">       </w:t>
      </w:r>
      <w:r>
        <w:rPr>
          <w:rFonts w:hint="eastAsia" w:ascii="仿宋" w:hAnsi="仿宋" w:eastAsia="仿宋"/>
          <w:sz w:val="28"/>
          <w:szCs w:val="28"/>
        </w:rPr>
        <w:t>乙方：</w:t>
      </w:r>
      <w:r>
        <w:rPr>
          <w:rFonts w:hint="eastAsia" w:ascii="仿宋" w:hAnsi="仿宋" w:eastAsia="仿宋"/>
          <w:sz w:val="28"/>
          <w:szCs w:val="28"/>
          <w:lang w:val="en-US" w:eastAsia="zh-CN"/>
        </w:rPr>
        <w:t>陕西正源会计师事务所</w:t>
      </w:r>
    </w:p>
    <w:p w14:paraId="150577C8">
      <w:pPr>
        <w:ind w:left="6995" w:leftChars="1143" w:hanging="4480" w:hangingChars="1600"/>
        <w:jc w:val="both"/>
        <w:rPr>
          <w:rFonts w:hint="eastAsia" w:ascii="仿宋" w:hAnsi="仿宋" w:eastAsia="仿宋"/>
          <w:sz w:val="28"/>
          <w:szCs w:val="28"/>
        </w:rPr>
      </w:pPr>
      <w:r>
        <w:rPr>
          <w:rFonts w:hint="eastAsia" w:ascii="仿宋" w:hAnsi="仿宋" w:eastAsia="仿宋" w:cs="宋体"/>
          <w:sz w:val="28"/>
          <w:szCs w:val="28"/>
        </w:rPr>
        <w:t xml:space="preserve">             </w:t>
      </w:r>
      <w:r>
        <w:rPr>
          <w:rFonts w:hint="eastAsia" w:ascii="仿宋" w:hAnsi="仿宋" w:eastAsia="仿宋" w:cs="宋体"/>
          <w:sz w:val="28"/>
          <w:szCs w:val="28"/>
          <w:lang w:val="en-US" w:eastAsia="zh-CN"/>
        </w:rPr>
        <w:t xml:space="preserve">           </w:t>
      </w:r>
      <w:r>
        <w:rPr>
          <w:rFonts w:hint="eastAsia" w:ascii="仿宋" w:hAnsi="仿宋" w:eastAsia="仿宋"/>
          <w:sz w:val="28"/>
          <w:szCs w:val="28"/>
        </w:rPr>
        <w:t>有限</w:t>
      </w:r>
      <w:r>
        <w:rPr>
          <w:rFonts w:hint="eastAsia" w:ascii="仿宋" w:hAnsi="仿宋" w:eastAsia="仿宋"/>
          <w:sz w:val="28"/>
          <w:szCs w:val="28"/>
          <w:lang w:val="en-US" w:eastAsia="zh-CN"/>
        </w:rPr>
        <w:t>责任</w:t>
      </w:r>
      <w:r>
        <w:rPr>
          <w:rFonts w:hint="eastAsia" w:ascii="仿宋" w:hAnsi="仿宋" w:eastAsia="仿宋"/>
          <w:sz w:val="28"/>
          <w:szCs w:val="28"/>
        </w:rPr>
        <w:t>公司</w:t>
      </w:r>
    </w:p>
    <w:p w14:paraId="57E612BD">
      <w:pPr>
        <w:spacing w:line="360" w:lineRule="auto"/>
        <w:ind w:firstLine="1120" w:firstLineChars="400"/>
        <w:rPr>
          <w:rFonts w:ascii="仿宋" w:hAnsi="仿宋" w:eastAsia="仿宋"/>
          <w:sz w:val="28"/>
          <w:szCs w:val="28"/>
        </w:rPr>
      </w:pPr>
      <w:r>
        <w:rPr>
          <w:rFonts w:hint="eastAsia" w:ascii="仿宋" w:hAnsi="仿宋" w:eastAsia="仿宋"/>
          <w:sz w:val="28"/>
          <w:szCs w:val="28"/>
        </w:rPr>
        <w:t xml:space="preserve">（签   章）                       </w:t>
      </w:r>
      <w:r>
        <w:rPr>
          <w:rFonts w:hint="eastAsia" w:ascii="仿宋" w:hAnsi="仿宋" w:eastAsia="仿宋"/>
          <w:sz w:val="28"/>
          <w:szCs w:val="28"/>
          <w:lang w:val="en-US" w:eastAsia="zh-CN"/>
        </w:rPr>
        <w:t xml:space="preserve">      </w:t>
      </w:r>
      <w:r>
        <w:rPr>
          <w:rFonts w:hint="eastAsia" w:ascii="仿宋" w:hAnsi="仿宋" w:eastAsia="仿宋"/>
          <w:sz w:val="28"/>
          <w:szCs w:val="28"/>
        </w:rPr>
        <w:t>（签   章）</w:t>
      </w:r>
    </w:p>
    <w:p w14:paraId="27889609">
      <w:pPr>
        <w:spacing w:line="480" w:lineRule="auto"/>
        <w:ind w:firstLine="1120" w:firstLineChars="400"/>
        <w:rPr>
          <w:rFonts w:ascii="仿宋" w:hAnsi="仿宋" w:eastAsia="仿宋"/>
          <w:sz w:val="28"/>
          <w:szCs w:val="28"/>
        </w:rPr>
      </w:pPr>
      <w:r>
        <w:rPr>
          <w:rFonts w:hint="eastAsia" w:ascii="仿宋" w:hAnsi="仿宋" w:eastAsia="仿宋"/>
          <w:sz w:val="28"/>
          <w:szCs w:val="28"/>
        </w:rPr>
        <w:t xml:space="preserve">代表：           </w:t>
      </w:r>
      <w:r>
        <w:rPr>
          <w:rFonts w:hint="eastAsia" w:ascii="仿宋" w:hAnsi="仿宋" w:eastAsia="仿宋"/>
          <w:sz w:val="28"/>
          <w:szCs w:val="28"/>
          <w:lang w:val="en-US" w:eastAsia="zh-CN"/>
        </w:rPr>
        <w:t xml:space="preserve">                   </w:t>
      </w:r>
      <w:r>
        <w:rPr>
          <w:rFonts w:hint="eastAsia" w:ascii="仿宋" w:hAnsi="仿宋" w:eastAsia="仿宋"/>
          <w:sz w:val="28"/>
          <w:szCs w:val="28"/>
        </w:rPr>
        <w:t xml:space="preserve">代表：      </w:t>
      </w:r>
    </w:p>
    <w:p w14:paraId="2A8EFAFE">
      <w:pPr>
        <w:spacing w:line="480" w:lineRule="auto"/>
        <w:ind w:firstLine="700" w:firstLineChars="250"/>
        <w:rPr>
          <w:rFonts w:hint="eastAsia" w:ascii="仿宋" w:hAnsi="仿宋" w:eastAsia="仿宋"/>
          <w:sz w:val="28"/>
          <w:szCs w:val="28"/>
        </w:rPr>
      </w:pPr>
      <w:r>
        <w:rPr>
          <w:rFonts w:hint="eastAsia" w:ascii="仿宋" w:hAnsi="仿宋" w:eastAsia="仿宋"/>
          <w:sz w:val="28"/>
          <w:szCs w:val="28"/>
        </w:rPr>
        <w:t xml:space="preserve">年    月    日                      </w:t>
      </w:r>
      <w:r>
        <w:rPr>
          <w:rFonts w:hint="eastAsia" w:ascii="仿宋" w:hAnsi="仿宋" w:eastAsia="仿宋"/>
          <w:sz w:val="28"/>
          <w:szCs w:val="28"/>
          <w:lang w:val="en-US" w:eastAsia="zh-CN"/>
        </w:rPr>
        <w:t xml:space="preserve">      </w:t>
      </w:r>
      <w:r>
        <w:rPr>
          <w:rFonts w:hint="eastAsia" w:ascii="仿宋" w:hAnsi="仿宋" w:eastAsia="仿宋"/>
          <w:sz w:val="28"/>
          <w:szCs w:val="28"/>
        </w:rPr>
        <w:t>年    月    日</w:t>
      </w:r>
    </w:p>
    <w:p w14:paraId="797270CE">
      <w:pPr>
        <w:rPr>
          <w:rFonts w:hint="default" w:ascii="仿宋" w:hAnsi="仿宋" w:eastAsia="仿宋"/>
          <w:sz w:val="28"/>
          <w:szCs w:val="28"/>
          <w:lang w:val="en-US"/>
        </w:rPr>
      </w:pPr>
      <w:bookmarkStart w:id="0" w:name="_GoBack"/>
      <w:bookmarkEnd w:id="0"/>
    </w:p>
    <w:sectPr>
      <w:pgSz w:w="11906" w:h="16838"/>
      <w:pgMar w:top="1134" w:right="1418" w:bottom="851" w:left="1588" w:header="709" w:footer="709"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swiss"/>
    <w:pitch w:val="default"/>
    <w:sig w:usb0="E1002EFF" w:usb1="C000605B" w:usb2="00000029" w:usb3="00000000" w:csb0="200101FF" w:csb1="2028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720"/>
  <w:drawingGridHorizontalSpacing w:val="110"/>
  <w:displayHorizontalDrawingGridEvery w:val="2"/>
  <w:characterSpacingControl w:val="doNotCompress"/>
  <w:footnotePr>
    <w:footnote w:id="0"/>
    <w:footnote w:id="1"/>
  </w:foot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1D50"/>
    <w:rsid w:val="00010660"/>
    <w:rsid w:val="00031832"/>
    <w:rsid w:val="00041026"/>
    <w:rsid w:val="00050E4A"/>
    <w:rsid w:val="000725E4"/>
    <w:rsid w:val="000864DB"/>
    <w:rsid w:val="000A12AC"/>
    <w:rsid w:val="000A695B"/>
    <w:rsid w:val="000C1DF2"/>
    <w:rsid w:val="000E58AC"/>
    <w:rsid w:val="00107928"/>
    <w:rsid w:val="001168F1"/>
    <w:rsid w:val="00147C9F"/>
    <w:rsid w:val="00154638"/>
    <w:rsid w:val="0016200E"/>
    <w:rsid w:val="001636DB"/>
    <w:rsid w:val="00163DD8"/>
    <w:rsid w:val="0017091C"/>
    <w:rsid w:val="00183F68"/>
    <w:rsid w:val="00186233"/>
    <w:rsid w:val="00187E53"/>
    <w:rsid w:val="001923F3"/>
    <w:rsid w:val="001B18B4"/>
    <w:rsid w:val="001D0A94"/>
    <w:rsid w:val="002143CB"/>
    <w:rsid w:val="0023641F"/>
    <w:rsid w:val="00251F9D"/>
    <w:rsid w:val="00252CBD"/>
    <w:rsid w:val="00270D44"/>
    <w:rsid w:val="0027466C"/>
    <w:rsid w:val="002B6264"/>
    <w:rsid w:val="002B772E"/>
    <w:rsid w:val="002C4704"/>
    <w:rsid w:val="002E0029"/>
    <w:rsid w:val="002E4D28"/>
    <w:rsid w:val="00323B43"/>
    <w:rsid w:val="00336E78"/>
    <w:rsid w:val="00345C4A"/>
    <w:rsid w:val="0035121F"/>
    <w:rsid w:val="00376E6B"/>
    <w:rsid w:val="003A7819"/>
    <w:rsid w:val="003B0B60"/>
    <w:rsid w:val="003B2846"/>
    <w:rsid w:val="003B45F5"/>
    <w:rsid w:val="003B5923"/>
    <w:rsid w:val="003B7308"/>
    <w:rsid w:val="003C622A"/>
    <w:rsid w:val="003D1678"/>
    <w:rsid w:val="003D25E1"/>
    <w:rsid w:val="003D37D8"/>
    <w:rsid w:val="003D4CE6"/>
    <w:rsid w:val="003E248A"/>
    <w:rsid w:val="003F1447"/>
    <w:rsid w:val="00426133"/>
    <w:rsid w:val="004358AB"/>
    <w:rsid w:val="00435EF8"/>
    <w:rsid w:val="00437107"/>
    <w:rsid w:val="00464EFD"/>
    <w:rsid w:val="004709B7"/>
    <w:rsid w:val="00484F5D"/>
    <w:rsid w:val="004875BC"/>
    <w:rsid w:val="00492241"/>
    <w:rsid w:val="004A17E8"/>
    <w:rsid w:val="004C1E29"/>
    <w:rsid w:val="004D6105"/>
    <w:rsid w:val="004D61C1"/>
    <w:rsid w:val="004F7518"/>
    <w:rsid w:val="00504E74"/>
    <w:rsid w:val="005117CE"/>
    <w:rsid w:val="00550FE2"/>
    <w:rsid w:val="00555354"/>
    <w:rsid w:val="005943C9"/>
    <w:rsid w:val="00595F89"/>
    <w:rsid w:val="005C041C"/>
    <w:rsid w:val="005C19BF"/>
    <w:rsid w:val="005C27F7"/>
    <w:rsid w:val="006073F4"/>
    <w:rsid w:val="006353A8"/>
    <w:rsid w:val="006356D9"/>
    <w:rsid w:val="006528B9"/>
    <w:rsid w:val="0067377A"/>
    <w:rsid w:val="00681ACD"/>
    <w:rsid w:val="00691A41"/>
    <w:rsid w:val="00695CA5"/>
    <w:rsid w:val="006B7227"/>
    <w:rsid w:val="006D0246"/>
    <w:rsid w:val="006D4DA2"/>
    <w:rsid w:val="006F03AE"/>
    <w:rsid w:val="006F67C0"/>
    <w:rsid w:val="00712175"/>
    <w:rsid w:val="0072479B"/>
    <w:rsid w:val="00742703"/>
    <w:rsid w:val="007741DF"/>
    <w:rsid w:val="0078150F"/>
    <w:rsid w:val="007911A9"/>
    <w:rsid w:val="007930FF"/>
    <w:rsid w:val="007B4570"/>
    <w:rsid w:val="007B7907"/>
    <w:rsid w:val="007D3887"/>
    <w:rsid w:val="007E0599"/>
    <w:rsid w:val="007E0D78"/>
    <w:rsid w:val="008151E9"/>
    <w:rsid w:val="0081589E"/>
    <w:rsid w:val="00842313"/>
    <w:rsid w:val="0084778D"/>
    <w:rsid w:val="008562D1"/>
    <w:rsid w:val="00872A93"/>
    <w:rsid w:val="00894924"/>
    <w:rsid w:val="008A2BBF"/>
    <w:rsid w:val="008A36D6"/>
    <w:rsid w:val="008B7726"/>
    <w:rsid w:val="008C4E95"/>
    <w:rsid w:val="008F3D61"/>
    <w:rsid w:val="008F4208"/>
    <w:rsid w:val="0091253D"/>
    <w:rsid w:val="009331DE"/>
    <w:rsid w:val="0095145C"/>
    <w:rsid w:val="009748ED"/>
    <w:rsid w:val="00986A2E"/>
    <w:rsid w:val="009B4B7D"/>
    <w:rsid w:val="009C44A6"/>
    <w:rsid w:val="009C49A8"/>
    <w:rsid w:val="009D05FD"/>
    <w:rsid w:val="009E6976"/>
    <w:rsid w:val="009F6526"/>
    <w:rsid w:val="00A0037B"/>
    <w:rsid w:val="00A10130"/>
    <w:rsid w:val="00A15CBE"/>
    <w:rsid w:val="00A3121E"/>
    <w:rsid w:val="00A40066"/>
    <w:rsid w:val="00A60470"/>
    <w:rsid w:val="00A761D1"/>
    <w:rsid w:val="00A8348E"/>
    <w:rsid w:val="00A83DC3"/>
    <w:rsid w:val="00A91BFE"/>
    <w:rsid w:val="00A92228"/>
    <w:rsid w:val="00AB3DF0"/>
    <w:rsid w:val="00AC0313"/>
    <w:rsid w:val="00AC1414"/>
    <w:rsid w:val="00AC4A8B"/>
    <w:rsid w:val="00AD482E"/>
    <w:rsid w:val="00AE71A1"/>
    <w:rsid w:val="00AF6605"/>
    <w:rsid w:val="00B24BC6"/>
    <w:rsid w:val="00B44C0E"/>
    <w:rsid w:val="00B5383B"/>
    <w:rsid w:val="00B54287"/>
    <w:rsid w:val="00B56375"/>
    <w:rsid w:val="00B71156"/>
    <w:rsid w:val="00B7247A"/>
    <w:rsid w:val="00B91F82"/>
    <w:rsid w:val="00B95473"/>
    <w:rsid w:val="00BB09C9"/>
    <w:rsid w:val="00BB43BD"/>
    <w:rsid w:val="00BB5FFF"/>
    <w:rsid w:val="00BC54BA"/>
    <w:rsid w:val="00BE23E7"/>
    <w:rsid w:val="00C00D14"/>
    <w:rsid w:val="00C07A3E"/>
    <w:rsid w:val="00C14CEF"/>
    <w:rsid w:val="00C15428"/>
    <w:rsid w:val="00C3004C"/>
    <w:rsid w:val="00C418A1"/>
    <w:rsid w:val="00C512CE"/>
    <w:rsid w:val="00C65E1B"/>
    <w:rsid w:val="00C67341"/>
    <w:rsid w:val="00C67B49"/>
    <w:rsid w:val="00C74ED9"/>
    <w:rsid w:val="00CB379D"/>
    <w:rsid w:val="00CC01F3"/>
    <w:rsid w:val="00CF61A9"/>
    <w:rsid w:val="00D01B2B"/>
    <w:rsid w:val="00D07B4D"/>
    <w:rsid w:val="00D31D50"/>
    <w:rsid w:val="00D35E2F"/>
    <w:rsid w:val="00D513D2"/>
    <w:rsid w:val="00D70CC6"/>
    <w:rsid w:val="00D84B15"/>
    <w:rsid w:val="00D86EED"/>
    <w:rsid w:val="00DB1357"/>
    <w:rsid w:val="00DC4326"/>
    <w:rsid w:val="00E05A6D"/>
    <w:rsid w:val="00E13268"/>
    <w:rsid w:val="00E47D46"/>
    <w:rsid w:val="00E55379"/>
    <w:rsid w:val="00E840A7"/>
    <w:rsid w:val="00E94258"/>
    <w:rsid w:val="00EA4C77"/>
    <w:rsid w:val="00EB33EE"/>
    <w:rsid w:val="00ED6CEA"/>
    <w:rsid w:val="00EF1603"/>
    <w:rsid w:val="00F052B5"/>
    <w:rsid w:val="00F23ACD"/>
    <w:rsid w:val="00F30BF1"/>
    <w:rsid w:val="00F36594"/>
    <w:rsid w:val="00F414F3"/>
    <w:rsid w:val="00F514BB"/>
    <w:rsid w:val="00F602C5"/>
    <w:rsid w:val="00FB4B8A"/>
    <w:rsid w:val="0C8A4852"/>
    <w:rsid w:val="2B274595"/>
    <w:rsid w:val="2DCC3482"/>
    <w:rsid w:val="3FCC7178"/>
    <w:rsid w:val="442651B2"/>
    <w:rsid w:val="4C213D03"/>
    <w:rsid w:val="62F63F60"/>
    <w:rsid w:val="66D657DA"/>
    <w:rsid w:val="6BD12F01"/>
    <w:rsid w:val="6FA83C70"/>
    <w:rsid w:val="73FD0632"/>
    <w:rsid w:val="74630231"/>
    <w:rsid w:val="78A369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nhideWhenUsed="0" w:uiPriority="9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pPr>
    <w:rPr>
      <w:rFonts w:ascii="Tahoma" w:hAnsi="Tahoma" w:eastAsia="微软雅黑" w:cstheme="minorBidi"/>
      <w:sz w:val="22"/>
      <w:szCs w:val="22"/>
      <w:lang w:val="en-US" w:eastAsia="zh-CN" w:bidi="ar-SA"/>
    </w:rPr>
  </w:style>
  <w:style w:type="paragraph" w:styleId="2">
    <w:name w:val="heading 1"/>
    <w:basedOn w:val="1"/>
    <w:next w:val="1"/>
    <w:link w:val="15"/>
    <w:qFormat/>
    <w:uiPriority w:val="9"/>
    <w:pPr>
      <w:adjustRightInd/>
      <w:snapToGrid/>
      <w:spacing w:before="100" w:beforeAutospacing="1" w:after="100" w:afterAutospacing="1"/>
      <w:outlineLvl w:val="0"/>
    </w:pPr>
    <w:rPr>
      <w:rFonts w:ascii="宋体" w:hAnsi="宋体" w:eastAsia="宋体" w:cs="宋体"/>
      <w:b/>
      <w:bCs/>
      <w:kern w:val="36"/>
      <w:sz w:val="48"/>
      <w:szCs w:val="48"/>
    </w:rPr>
  </w:style>
  <w:style w:type="paragraph" w:styleId="3">
    <w:name w:val="heading 4"/>
    <w:basedOn w:val="1"/>
    <w:next w:val="4"/>
    <w:qFormat/>
    <w:uiPriority w:val="99"/>
    <w:pPr>
      <w:keepNext/>
      <w:spacing w:line="600" w:lineRule="exact"/>
      <w:jc w:val="center"/>
      <w:outlineLvl w:val="3"/>
    </w:pPr>
    <w:rPr>
      <w:rFonts w:ascii="楷体_GB2312" w:hAnsi="宋体" w:eastAsia="楷体_GB2312"/>
      <w:sz w:val="32"/>
      <w:szCs w:val="32"/>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4">
    <w:name w:val="Normal Indent"/>
    <w:basedOn w:val="1"/>
    <w:unhideWhenUsed/>
    <w:qFormat/>
    <w:uiPriority w:val="0"/>
    <w:pPr>
      <w:adjustRightInd w:val="0"/>
      <w:spacing w:line="312" w:lineRule="atLeast"/>
      <w:ind w:firstLine="420"/>
    </w:pPr>
    <w:rPr>
      <w:rFonts w:ascii="Calibri" w:hAnsi="Calibri" w:eastAsia="宋体" w:cs="Times New Roman"/>
      <w:szCs w:val="22"/>
    </w:rPr>
  </w:style>
  <w:style w:type="paragraph" w:styleId="5">
    <w:name w:val="Body Text Indent"/>
    <w:basedOn w:val="1"/>
    <w:qFormat/>
    <w:uiPriority w:val="99"/>
    <w:pPr>
      <w:spacing w:line="660" w:lineRule="exact"/>
      <w:ind w:firstLine="538" w:firstLineChars="192"/>
    </w:pPr>
    <w:rPr>
      <w:sz w:val="28"/>
    </w:rPr>
  </w:style>
  <w:style w:type="paragraph" w:styleId="6">
    <w:name w:val="Balloon Text"/>
    <w:basedOn w:val="1"/>
    <w:link w:val="17"/>
    <w:semiHidden/>
    <w:unhideWhenUsed/>
    <w:qFormat/>
    <w:uiPriority w:val="99"/>
    <w:pPr>
      <w:spacing w:after="0"/>
    </w:pPr>
    <w:rPr>
      <w:sz w:val="18"/>
      <w:szCs w:val="18"/>
    </w:rPr>
  </w:style>
  <w:style w:type="paragraph" w:styleId="7">
    <w:name w:val="footer"/>
    <w:basedOn w:val="1"/>
    <w:link w:val="20"/>
    <w:unhideWhenUsed/>
    <w:qFormat/>
    <w:uiPriority w:val="99"/>
    <w:pPr>
      <w:tabs>
        <w:tab w:val="center" w:pos="4153"/>
        <w:tab w:val="right" w:pos="8306"/>
      </w:tabs>
    </w:pPr>
    <w:rPr>
      <w:sz w:val="18"/>
      <w:szCs w:val="18"/>
    </w:rPr>
  </w:style>
  <w:style w:type="paragraph" w:styleId="8">
    <w:name w:val="header"/>
    <w:basedOn w:val="1"/>
    <w:link w:val="19"/>
    <w:unhideWhenUsed/>
    <w:qFormat/>
    <w:uiPriority w:val="99"/>
    <w:pPr>
      <w:pBdr>
        <w:bottom w:val="single" w:color="auto" w:sz="6" w:space="1"/>
      </w:pBdr>
      <w:tabs>
        <w:tab w:val="center" w:pos="4153"/>
        <w:tab w:val="right" w:pos="8306"/>
      </w:tabs>
      <w:jc w:val="center"/>
    </w:pPr>
    <w:rPr>
      <w:sz w:val="18"/>
      <w:szCs w:val="18"/>
    </w:rPr>
  </w:style>
  <w:style w:type="paragraph" w:styleId="9">
    <w:name w:val="Normal (Web)"/>
    <w:basedOn w:val="1"/>
    <w:unhideWhenUsed/>
    <w:qFormat/>
    <w:uiPriority w:val="99"/>
    <w:pPr>
      <w:adjustRightInd/>
      <w:snapToGrid/>
      <w:spacing w:before="100" w:beforeAutospacing="1" w:after="100" w:afterAutospacing="1"/>
    </w:pPr>
    <w:rPr>
      <w:rFonts w:ascii="宋体" w:hAnsi="宋体" w:eastAsia="宋体" w:cs="宋体"/>
      <w:sz w:val="24"/>
      <w:szCs w:val="24"/>
    </w:rPr>
  </w:style>
  <w:style w:type="paragraph" w:styleId="10">
    <w:name w:val="Body Text First Indent 2"/>
    <w:basedOn w:val="5"/>
    <w:unhideWhenUsed/>
    <w:qFormat/>
    <w:uiPriority w:val="99"/>
    <w:pPr>
      <w:widowControl w:val="0"/>
      <w:spacing w:after="120"/>
      <w:ind w:left="420" w:leftChars="200" w:firstLine="420" w:firstLineChars="200"/>
      <w:jc w:val="both"/>
    </w:pPr>
    <w:rPr>
      <w:rFonts w:ascii="Calibri" w:hAnsi="Calibri" w:eastAsia="宋体" w:cs="Times New Roman"/>
      <w:kern w:val="2"/>
      <w:sz w:val="21"/>
      <w:szCs w:val="22"/>
      <w:lang w:val="en-US" w:eastAsia="zh-CN" w:bidi="ar-SA"/>
    </w:rPr>
  </w:style>
  <w:style w:type="character" w:styleId="13">
    <w:name w:val="Strong"/>
    <w:basedOn w:val="12"/>
    <w:qFormat/>
    <w:uiPriority w:val="22"/>
    <w:rPr>
      <w:b/>
      <w:bCs/>
    </w:rPr>
  </w:style>
  <w:style w:type="character" w:styleId="14">
    <w:name w:val="Hyperlink"/>
    <w:basedOn w:val="12"/>
    <w:semiHidden/>
    <w:unhideWhenUsed/>
    <w:qFormat/>
    <w:uiPriority w:val="99"/>
    <w:rPr>
      <w:color w:val="0000FF"/>
      <w:u w:val="single"/>
    </w:rPr>
  </w:style>
  <w:style w:type="character" w:customStyle="1" w:styleId="15">
    <w:name w:val="标题 1 Char"/>
    <w:basedOn w:val="12"/>
    <w:link w:val="2"/>
    <w:qFormat/>
    <w:uiPriority w:val="9"/>
    <w:rPr>
      <w:rFonts w:ascii="宋体" w:hAnsi="宋体" w:eastAsia="宋体" w:cs="宋体"/>
      <w:b/>
      <w:bCs/>
      <w:kern w:val="36"/>
      <w:sz w:val="48"/>
      <w:szCs w:val="48"/>
    </w:rPr>
  </w:style>
  <w:style w:type="paragraph" w:customStyle="1" w:styleId="16">
    <w:name w:val="reader-word-layer"/>
    <w:basedOn w:val="1"/>
    <w:qFormat/>
    <w:uiPriority w:val="0"/>
    <w:pPr>
      <w:adjustRightInd/>
      <w:snapToGrid/>
      <w:spacing w:before="100" w:beforeAutospacing="1" w:after="100" w:afterAutospacing="1"/>
    </w:pPr>
    <w:rPr>
      <w:rFonts w:ascii="宋体" w:hAnsi="宋体" w:eastAsia="宋体" w:cs="宋体"/>
      <w:sz w:val="24"/>
      <w:szCs w:val="24"/>
    </w:rPr>
  </w:style>
  <w:style w:type="character" w:customStyle="1" w:styleId="17">
    <w:name w:val="批注框文本 Char"/>
    <w:basedOn w:val="12"/>
    <w:link w:val="6"/>
    <w:semiHidden/>
    <w:qFormat/>
    <w:uiPriority w:val="99"/>
    <w:rPr>
      <w:rFonts w:ascii="Tahoma" w:hAnsi="Tahoma"/>
      <w:sz w:val="18"/>
      <w:szCs w:val="18"/>
    </w:rPr>
  </w:style>
  <w:style w:type="paragraph" w:styleId="18">
    <w:name w:val="List Paragraph"/>
    <w:basedOn w:val="1"/>
    <w:qFormat/>
    <w:uiPriority w:val="34"/>
    <w:pPr>
      <w:ind w:firstLine="420" w:firstLineChars="200"/>
    </w:pPr>
  </w:style>
  <w:style w:type="character" w:customStyle="1" w:styleId="19">
    <w:name w:val="页眉 Char"/>
    <w:basedOn w:val="12"/>
    <w:link w:val="8"/>
    <w:qFormat/>
    <w:uiPriority w:val="99"/>
    <w:rPr>
      <w:rFonts w:ascii="Tahoma" w:hAnsi="Tahoma"/>
      <w:sz w:val="18"/>
      <w:szCs w:val="18"/>
    </w:rPr>
  </w:style>
  <w:style w:type="character" w:customStyle="1" w:styleId="20">
    <w:name w:val="页脚 Char"/>
    <w:basedOn w:val="12"/>
    <w:link w:val="7"/>
    <w:qFormat/>
    <w:uiPriority w:val="99"/>
    <w:rPr>
      <w:rFonts w:ascii="Tahoma" w:hAnsi="Tahoma"/>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1606</Words>
  <Characters>1680</Characters>
  <Lines>6</Lines>
  <Paragraphs>1</Paragraphs>
  <TotalTime>22</TotalTime>
  <ScaleCrop>false</ScaleCrop>
  <LinksUpToDate>false</LinksUpToDate>
  <CharactersWithSpaces>1830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2020-11-30T05:36:00Z</dcterms:created>
  <dc:creator>Administrator</dc:creator>
  <cp:lastModifiedBy>♛    味道刚刚好</cp:lastModifiedBy>
  <cp:lastPrinted>2017-07-26T01:50:00Z</cp:lastPrinted>
  <dcterms:modified xsi:type="dcterms:W3CDTF">2025-07-30T02:34:21Z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eyJoZGlkIjoiZjc1ZjBmYTM4NzQ1ZjAyMjhkNjRmYTEyNDUwM2IxYzMiLCJ1c2VySWQiOiIxMjc2MTA1ODU1In0=</vt:lpwstr>
  </property>
  <property fmtid="{D5CDD505-2E9C-101B-9397-08002B2CF9AE}" pid="4" name="ICV">
    <vt:lpwstr>AE8304101AAF444C8FE130961D55BF30_12</vt:lpwstr>
  </property>
</Properties>
</file>