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240" w:beforeAutospacing="0" w:after="240" w:afterAutospacing="0"/>
        <w:ind w:left="0" w:right="0"/>
        <w:jc w:val="center"/>
        <w:rPr>
          <w:b/>
          <w:bCs/>
          <w:sz w:val="48"/>
          <w:szCs w:val="48"/>
        </w:rPr>
      </w:pPr>
      <w:bookmarkStart w:id="0" w:name="_GoBack"/>
      <w:r>
        <w:rPr>
          <w:b/>
          <w:bCs/>
          <w:i w:val="0"/>
          <w:iCs w:val="0"/>
          <w:caps w:val="0"/>
          <w:color w:val="333333"/>
          <w:spacing w:val="0"/>
          <w:sz w:val="48"/>
          <w:szCs w:val="48"/>
          <w:bdr w:val="none" w:color="auto" w:sz="0" w:space="0"/>
          <w:shd w:val="clear" w:fill="FFFFFF"/>
        </w:rPr>
        <w:t>陕西省政府采购框架协议直接选定合同</w:t>
      </w:r>
    </w:p>
    <w:bookmarkEnd w:id="0"/>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ascii="Helvetica" w:hAnsi="Helvetica" w:eastAsia="Helvetica" w:cs="Helvetica"/>
          <w:i w:val="0"/>
          <w:iCs w:val="0"/>
          <w:caps w:val="0"/>
          <w:color w:val="333333"/>
          <w:spacing w:val="0"/>
          <w:sz w:val="30"/>
          <w:szCs w:val="30"/>
          <w:bdr w:val="none" w:color="auto" w:sz="0" w:space="0"/>
          <w:shd w:val="clear" w:fill="FFFFFF"/>
        </w:rPr>
        <w:t>框架协议编号：</w:t>
      </w:r>
      <w:r>
        <w:rPr>
          <w:rFonts w:hint="default" w:ascii="Helvetica" w:hAnsi="Helvetica" w:eastAsia="Helvetica" w:cs="Helvetica"/>
          <w:i w:val="0"/>
          <w:iCs w:val="0"/>
          <w:caps w:val="0"/>
          <w:color w:val="333333"/>
          <w:spacing w:val="0"/>
          <w:sz w:val="30"/>
          <w:szCs w:val="30"/>
          <w:bdr w:val="none" w:color="auto" w:sz="0" w:space="0"/>
          <w:shd w:val="clear" w:fill="FFFFFF"/>
        </w:rPr>
        <w:t>KJXY-610401-20241230-000001</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征集人：咸阳市政府采购中心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合同名称：咸阳市药品安全监测与评价中心车辆维修和保养服务直接选定采购合同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合同编号：KJXY-咸阳市-2025-HT013486</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甲方：咸阳市药品安全监测与评价中心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乙方：咸阳胜通宏海汽车服务有限公司</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合同金额(元)：3960.00</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人民币大写：叁仟玖佰陆拾元整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120" w:beforeAutospacing="0" w:after="0" w:afterAutospacing="0" w:line="600" w:lineRule="atLeast"/>
        <w:ind w:left="300" w:right="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经甲乙双方达成一致，根据《中华人民共和国政府采购法》《中华人民共和国民法典》等相关法律、法规的规定以及《政府采购框架协议采购方式管理暂行办法》签订本合同，并共同遵守。</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一、合同标的</w:t>
      </w:r>
    </w:p>
    <w:tbl>
      <w:tblPr>
        <w:tblW w:w="5015" w:type="pct"/>
        <w:tblInd w:w="300" w:type="dxa"/>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83"/>
        <w:gridCol w:w="2316"/>
        <w:gridCol w:w="537"/>
        <w:gridCol w:w="531"/>
        <w:gridCol w:w="1842"/>
        <w:gridCol w:w="1870"/>
        <w:gridCol w:w="1873"/>
      </w:tblGrid>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tblCellMar>
            <w:top w:w="15" w:type="dxa"/>
            <w:left w:w="15" w:type="dxa"/>
            <w:bottom w:w="15" w:type="dxa"/>
            <w:right w:w="15" w:type="dxa"/>
          </w:tblCellMar>
        </w:tblPrEx>
        <w:trPr>
          <w:trHeight w:val="1234" w:hRule="atLeast"/>
        </w:trPr>
        <w:tc>
          <w:tcPr>
            <w:tcW w:w="153"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24"/>
                <w:szCs w:val="24"/>
              </w:rPr>
            </w:pPr>
            <w:r>
              <w:rPr>
                <w:rFonts w:hint="eastAsia" w:ascii="宋体" w:hAnsi="宋体" w:eastAsia="宋体" w:cs="宋体"/>
                <w:i w:val="0"/>
                <w:iCs w:val="0"/>
                <w:kern w:val="0"/>
                <w:sz w:val="24"/>
                <w:szCs w:val="24"/>
                <w:bdr w:val="none" w:color="auto" w:sz="0" w:space="0"/>
                <w:lang w:val="en-US" w:eastAsia="zh-CN" w:bidi="ar"/>
              </w:rPr>
              <w:t>序号</w:t>
            </w:r>
          </w:p>
        </w:tc>
        <w:tc>
          <w:tcPr>
            <w:tcW w:w="1251"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24"/>
                <w:szCs w:val="24"/>
              </w:rPr>
            </w:pPr>
            <w:r>
              <w:rPr>
                <w:rFonts w:hint="eastAsia" w:ascii="宋体" w:hAnsi="宋体" w:eastAsia="宋体" w:cs="宋体"/>
                <w:i w:val="0"/>
                <w:iCs w:val="0"/>
                <w:kern w:val="0"/>
                <w:sz w:val="24"/>
                <w:szCs w:val="24"/>
                <w:bdr w:val="none" w:color="auto" w:sz="0" w:space="0"/>
                <w:lang w:val="en-US" w:eastAsia="zh-CN" w:bidi="ar"/>
              </w:rPr>
              <w:t>服务名称</w:t>
            </w:r>
          </w:p>
        </w:tc>
        <w:tc>
          <w:tcPr>
            <w:tcW w:w="29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24"/>
                <w:szCs w:val="24"/>
              </w:rPr>
            </w:pPr>
            <w:r>
              <w:rPr>
                <w:rFonts w:hint="eastAsia" w:ascii="宋体" w:hAnsi="宋体" w:eastAsia="宋体" w:cs="宋体"/>
                <w:i w:val="0"/>
                <w:iCs w:val="0"/>
                <w:kern w:val="0"/>
                <w:sz w:val="24"/>
                <w:szCs w:val="24"/>
                <w:bdr w:val="none" w:color="auto" w:sz="0" w:space="0"/>
                <w:lang w:val="en-US" w:eastAsia="zh-CN" w:bidi="ar"/>
              </w:rPr>
              <w:t>数量</w:t>
            </w:r>
          </w:p>
        </w:tc>
        <w:tc>
          <w:tcPr>
            <w:tcW w:w="287"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24"/>
                <w:szCs w:val="24"/>
              </w:rPr>
            </w:pPr>
            <w:r>
              <w:rPr>
                <w:rFonts w:hint="eastAsia" w:ascii="宋体" w:hAnsi="宋体" w:eastAsia="宋体" w:cs="宋体"/>
                <w:i w:val="0"/>
                <w:iCs w:val="0"/>
                <w:kern w:val="0"/>
                <w:sz w:val="24"/>
                <w:szCs w:val="24"/>
                <w:bdr w:val="none" w:color="auto" w:sz="0" w:space="0"/>
                <w:lang w:val="en-US" w:eastAsia="zh-CN" w:bidi="ar"/>
              </w:rPr>
              <w:t>计价单位</w:t>
            </w:r>
          </w:p>
        </w:tc>
        <w:tc>
          <w:tcPr>
            <w:tcW w:w="995"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i w:val="0"/>
                <w:iCs w:val="0"/>
                <w:sz w:val="24"/>
                <w:szCs w:val="24"/>
              </w:rPr>
            </w:pPr>
            <w:r>
              <w:rPr>
                <w:rFonts w:hint="eastAsia" w:ascii="宋体" w:hAnsi="宋体" w:eastAsia="宋体" w:cs="宋体"/>
                <w:i w:val="0"/>
                <w:iCs w:val="0"/>
                <w:kern w:val="0"/>
                <w:sz w:val="24"/>
                <w:szCs w:val="24"/>
                <w:bdr w:val="none" w:color="auto" w:sz="0" w:space="0"/>
                <w:lang w:val="en-US" w:eastAsia="zh-CN" w:bidi="ar"/>
              </w:rPr>
              <w:t>报价单价</w:t>
            </w:r>
          </w:p>
        </w:tc>
        <w:tc>
          <w:tcPr>
            <w:tcW w:w="101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default" w:ascii="宋体" w:hAnsi="宋体" w:eastAsia="宋体" w:cs="宋体"/>
                <w:i w:val="0"/>
                <w:iCs w:val="0"/>
                <w:kern w:val="0"/>
                <w:sz w:val="24"/>
                <w:szCs w:val="24"/>
                <w:bdr w:val="none" w:color="auto" w:sz="0" w:space="0"/>
                <w:lang w:val="en-US" w:eastAsia="zh-CN" w:bidi="ar"/>
              </w:rPr>
            </w:pPr>
            <w:r>
              <w:rPr>
                <w:rFonts w:hint="eastAsia" w:ascii="宋体" w:hAnsi="宋体" w:eastAsia="宋体" w:cs="宋体"/>
                <w:i w:val="0"/>
                <w:iCs w:val="0"/>
                <w:kern w:val="0"/>
                <w:sz w:val="24"/>
                <w:szCs w:val="24"/>
                <w:bdr w:val="none" w:color="auto" w:sz="0" w:space="0"/>
                <w:lang w:val="en-US" w:eastAsia="zh-CN" w:bidi="ar"/>
              </w:rPr>
              <w:t>金额</w:t>
            </w:r>
          </w:p>
        </w:tc>
        <w:tc>
          <w:tcPr>
            <w:tcW w:w="1012"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default" w:ascii="宋体" w:hAnsi="宋体" w:eastAsia="宋体" w:cs="宋体"/>
                <w:i w:val="0"/>
                <w:iCs w:val="0"/>
                <w:kern w:val="0"/>
                <w:sz w:val="24"/>
                <w:szCs w:val="24"/>
                <w:bdr w:val="none" w:color="auto" w:sz="0" w:space="0"/>
                <w:lang w:val="en-US" w:eastAsia="zh-CN" w:bidi="ar"/>
              </w:rPr>
            </w:pPr>
            <w:r>
              <w:rPr>
                <w:rFonts w:hint="eastAsia" w:ascii="宋体" w:hAnsi="宋体" w:eastAsia="宋体" w:cs="宋体"/>
                <w:i w:val="0"/>
                <w:iCs w:val="0"/>
                <w:kern w:val="0"/>
                <w:sz w:val="24"/>
                <w:szCs w:val="24"/>
                <w:bdr w:val="none" w:color="auto" w:sz="0" w:space="0"/>
                <w:lang w:val="en-US" w:eastAsia="zh-CN" w:bidi="ar"/>
              </w:rPr>
              <w:t>备注</w:t>
            </w: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tblCellMar>
            <w:top w:w="15" w:type="dxa"/>
            <w:left w:w="15" w:type="dxa"/>
            <w:bottom w:w="15" w:type="dxa"/>
            <w:right w:w="15" w:type="dxa"/>
          </w:tblCellMar>
        </w:tblPrEx>
        <w:trPr>
          <w:trHeight w:val="1234" w:hRule="atLeast"/>
        </w:trPr>
        <w:tc>
          <w:tcPr>
            <w:tcW w:w="153"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24"/>
                <w:szCs w:val="24"/>
              </w:rPr>
            </w:pPr>
            <w:r>
              <w:rPr>
                <w:rFonts w:hint="eastAsia" w:ascii="宋体" w:hAnsi="宋体" w:eastAsia="宋体" w:cs="宋体"/>
                <w:b/>
                <w:bCs/>
                <w:kern w:val="0"/>
                <w:sz w:val="24"/>
                <w:szCs w:val="24"/>
                <w:bdr w:val="none" w:color="auto" w:sz="0" w:space="0"/>
                <w:lang w:val="en-US" w:eastAsia="zh-CN" w:bidi="ar"/>
              </w:rPr>
              <w:t>1</w:t>
            </w:r>
          </w:p>
        </w:tc>
        <w:tc>
          <w:tcPr>
            <w:tcW w:w="1251"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24"/>
                <w:szCs w:val="24"/>
              </w:rPr>
            </w:pPr>
            <w:r>
              <w:rPr>
                <w:rFonts w:hint="eastAsia" w:ascii="宋体" w:hAnsi="宋体" w:eastAsia="宋体" w:cs="宋体"/>
                <w:b/>
                <w:bCs/>
                <w:kern w:val="0"/>
                <w:sz w:val="24"/>
                <w:szCs w:val="24"/>
                <w:bdr w:val="none" w:color="auto" w:sz="0" w:space="0"/>
                <w:lang w:val="en-US" w:eastAsia="zh-CN" w:bidi="ar"/>
              </w:rPr>
              <w:t>咸阳市2025-2026年市本级行政事业单位车辆维修和保养服务</w:t>
            </w:r>
          </w:p>
        </w:tc>
        <w:tc>
          <w:tcPr>
            <w:tcW w:w="29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24"/>
                <w:szCs w:val="24"/>
              </w:rPr>
            </w:pPr>
            <w:r>
              <w:rPr>
                <w:rFonts w:hint="eastAsia" w:ascii="宋体" w:hAnsi="宋体" w:eastAsia="宋体" w:cs="宋体"/>
                <w:b/>
                <w:bCs/>
                <w:kern w:val="0"/>
                <w:sz w:val="24"/>
                <w:szCs w:val="24"/>
                <w:bdr w:val="none" w:color="auto" w:sz="0" w:space="0"/>
                <w:lang w:val="en-US" w:eastAsia="zh-CN" w:bidi="ar"/>
              </w:rPr>
              <w:t>1</w:t>
            </w:r>
          </w:p>
        </w:tc>
        <w:tc>
          <w:tcPr>
            <w:tcW w:w="287"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sz w:val="24"/>
                <w:szCs w:val="24"/>
              </w:rPr>
            </w:pPr>
            <w:r>
              <w:rPr>
                <w:rFonts w:hint="eastAsia" w:ascii="宋体" w:hAnsi="宋体" w:eastAsia="宋体" w:cs="宋体"/>
                <w:b/>
                <w:bCs/>
                <w:kern w:val="0"/>
                <w:sz w:val="24"/>
                <w:szCs w:val="24"/>
                <w:bdr w:val="none" w:color="auto" w:sz="0" w:space="0"/>
                <w:lang w:val="en-US" w:eastAsia="zh-CN" w:bidi="ar"/>
              </w:rPr>
              <w:t>%</w:t>
            </w:r>
          </w:p>
        </w:tc>
        <w:tc>
          <w:tcPr>
            <w:tcW w:w="995"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spacing w:before="0" w:beforeAutospacing="0" w:after="0" w:afterAutospacing="0"/>
              <w:ind w:left="0" w:right="0"/>
              <w:jc w:val="center"/>
              <w:rPr>
                <w:rFonts w:hint="eastAsia" w:ascii="宋体" w:hAnsi="宋体" w:eastAsia="宋体" w:cs="宋体"/>
                <w:b/>
                <w:bCs/>
                <w:sz w:val="24"/>
                <w:szCs w:val="24"/>
              </w:rPr>
            </w:pPr>
            <w:r>
              <w:rPr>
                <w:rFonts w:hint="eastAsia" w:ascii="宋体" w:hAnsi="宋体" w:eastAsia="宋体" w:cs="宋体"/>
                <w:b/>
                <w:bCs/>
                <w:kern w:val="0"/>
                <w:sz w:val="24"/>
                <w:szCs w:val="24"/>
                <w:bdr w:val="none" w:color="auto" w:sz="0" w:space="0"/>
                <w:lang w:val="en-US" w:eastAsia="zh-CN" w:bidi="ar"/>
              </w:rPr>
              <w:t>3960.00元</w:t>
            </w:r>
          </w:p>
        </w:tc>
        <w:tc>
          <w:tcPr>
            <w:tcW w:w="101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spacing w:before="0" w:beforeAutospacing="0" w:after="0" w:afterAutospacing="0"/>
              <w:ind w:left="0" w:right="0"/>
              <w:jc w:val="center"/>
              <w:rPr>
                <w:rFonts w:hint="default" w:ascii="宋体" w:hAnsi="宋体" w:eastAsia="宋体" w:cs="宋体"/>
                <w:b/>
                <w:bCs/>
                <w:kern w:val="0"/>
                <w:sz w:val="24"/>
                <w:szCs w:val="24"/>
                <w:bdr w:val="none" w:color="auto" w:sz="0" w:space="0"/>
                <w:lang w:val="en-US" w:eastAsia="zh-CN" w:bidi="ar"/>
              </w:rPr>
            </w:pPr>
            <w:r>
              <w:rPr>
                <w:rFonts w:hint="eastAsia" w:ascii="宋体" w:hAnsi="宋体" w:eastAsia="宋体" w:cs="宋体"/>
                <w:b/>
                <w:bCs/>
                <w:kern w:val="0"/>
                <w:sz w:val="24"/>
                <w:szCs w:val="24"/>
                <w:lang w:val="en-US" w:eastAsia="zh-CN" w:bidi="ar"/>
              </w:rPr>
              <w:t>3960.00元</w:t>
            </w:r>
          </w:p>
        </w:tc>
        <w:tc>
          <w:tcPr>
            <w:tcW w:w="1012"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spacing w:before="0" w:beforeAutospacing="0" w:after="0" w:afterAutospacing="0"/>
              <w:ind w:left="0" w:right="0"/>
              <w:jc w:val="center"/>
              <w:rPr>
                <w:rFonts w:hint="eastAsia" w:ascii="宋体" w:hAnsi="宋体" w:eastAsia="宋体" w:cs="宋体"/>
                <w:b/>
                <w:bCs/>
                <w:kern w:val="0"/>
                <w:sz w:val="24"/>
                <w:szCs w:val="24"/>
                <w:bdr w:val="none" w:color="auto" w:sz="0" w:space="0"/>
                <w:lang w:val="en-US" w:eastAsia="zh-CN" w:bidi="ar"/>
              </w:rPr>
            </w:pPr>
          </w:p>
        </w:tc>
      </w:tr>
      <w:tr>
        <w:tblPrEx>
          <w:tblBorders>
            <w:top w:val="single" w:color="000000" w:sz="6" w:space="0"/>
            <w:left w:val="single" w:color="000000" w:sz="6" w:space="0"/>
            <w:bottom w:val="single" w:color="000000" w:sz="6" w:space="0"/>
            <w:right w:val="single" w:color="000000" w:sz="6" w:space="0"/>
            <w:insideH w:val="outset" w:color="auto" w:sz="6" w:space="0"/>
            <w:insideV w:val="outset" w:color="auto" w:sz="6" w:space="0"/>
          </w:tblBorders>
          <w:shd w:val="clear"/>
          <w:tblCellMar>
            <w:top w:w="15" w:type="dxa"/>
            <w:left w:w="15" w:type="dxa"/>
            <w:bottom w:w="15" w:type="dxa"/>
            <w:right w:w="15" w:type="dxa"/>
          </w:tblCellMar>
        </w:tblPrEx>
        <w:trPr>
          <w:trHeight w:val="657" w:hRule="atLeast"/>
        </w:trPr>
        <w:tc>
          <w:tcPr>
            <w:tcW w:w="153"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kern w:val="0"/>
                <w:sz w:val="24"/>
                <w:szCs w:val="24"/>
                <w:bdr w:val="none" w:color="auto" w:sz="0" w:space="0"/>
                <w:lang w:val="en-US" w:eastAsia="zh-CN" w:bidi="ar"/>
              </w:rPr>
            </w:pPr>
          </w:p>
        </w:tc>
        <w:tc>
          <w:tcPr>
            <w:tcW w:w="1251"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default" w:ascii="宋体" w:hAnsi="宋体" w:eastAsia="宋体" w:cs="宋体"/>
                <w:b/>
                <w:bCs/>
                <w:kern w:val="0"/>
                <w:sz w:val="24"/>
                <w:szCs w:val="24"/>
                <w:bdr w:val="none" w:color="auto" w:sz="0" w:space="0"/>
                <w:lang w:val="en-US" w:eastAsia="zh-CN" w:bidi="ar"/>
              </w:rPr>
            </w:pPr>
            <w:r>
              <w:rPr>
                <w:rFonts w:hint="eastAsia" w:ascii="宋体" w:hAnsi="宋体" w:eastAsia="宋体" w:cs="宋体"/>
                <w:b/>
                <w:bCs/>
                <w:kern w:val="0"/>
                <w:sz w:val="24"/>
                <w:szCs w:val="24"/>
                <w:bdr w:val="none" w:color="auto" w:sz="0" w:space="0"/>
                <w:lang w:val="en-US" w:eastAsia="zh-CN" w:bidi="ar"/>
              </w:rPr>
              <w:t>合计</w:t>
            </w:r>
          </w:p>
        </w:tc>
        <w:tc>
          <w:tcPr>
            <w:tcW w:w="290"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default" w:ascii="宋体" w:hAnsi="宋体" w:eastAsia="宋体" w:cs="宋体"/>
                <w:b/>
                <w:bCs/>
                <w:kern w:val="0"/>
                <w:sz w:val="24"/>
                <w:szCs w:val="24"/>
                <w:bdr w:val="none" w:color="auto" w:sz="0" w:space="0"/>
                <w:lang w:val="en-US" w:eastAsia="zh-CN" w:bidi="ar"/>
              </w:rPr>
            </w:pPr>
            <w:r>
              <w:rPr>
                <w:rFonts w:hint="eastAsia" w:ascii="宋体" w:hAnsi="宋体" w:eastAsia="宋体" w:cs="宋体"/>
                <w:b/>
                <w:bCs/>
                <w:kern w:val="0"/>
                <w:sz w:val="24"/>
                <w:szCs w:val="24"/>
                <w:bdr w:val="none" w:color="auto" w:sz="0" w:space="0"/>
                <w:lang w:val="en-US" w:eastAsia="zh-CN" w:bidi="ar"/>
              </w:rPr>
              <w:t>1</w:t>
            </w:r>
          </w:p>
        </w:tc>
        <w:tc>
          <w:tcPr>
            <w:tcW w:w="287" w:type="pct"/>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val="0"/>
              <w:spacing w:before="0" w:beforeAutospacing="0" w:after="0" w:afterAutospacing="0"/>
              <w:ind w:left="0" w:right="0"/>
              <w:jc w:val="center"/>
              <w:rPr>
                <w:rFonts w:hint="eastAsia" w:ascii="宋体" w:hAnsi="宋体" w:eastAsia="宋体" w:cs="宋体"/>
                <w:b/>
                <w:bCs/>
                <w:kern w:val="0"/>
                <w:sz w:val="24"/>
                <w:szCs w:val="24"/>
                <w:bdr w:val="none" w:color="auto" w:sz="0" w:space="0"/>
                <w:lang w:val="en-US" w:eastAsia="zh-CN" w:bidi="ar"/>
              </w:rPr>
            </w:pPr>
          </w:p>
        </w:tc>
        <w:tc>
          <w:tcPr>
            <w:tcW w:w="3017" w:type="pct"/>
            <w:gridSpan w:val="3"/>
            <w:tcBorders>
              <w:top w:val="outset" w:color="auto" w:sz="6" w:space="0"/>
              <w:left w:val="outset" w:color="auto" w:sz="6" w:space="0"/>
              <w:bottom w:val="outset" w:color="auto" w:sz="6" w:space="0"/>
              <w:right w:val="outset" w:color="auto" w:sz="6" w:space="0"/>
            </w:tcBorders>
            <w:shd w:val="clear"/>
            <w:tcMar>
              <w:top w:w="0" w:type="dxa"/>
              <w:left w:w="0" w:type="dxa"/>
              <w:bottom w:w="0" w:type="dxa"/>
              <w:right w:w="0" w:type="dxa"/>
            </w:tcMar>
            <w:vAlign w:val="center"/>
          </w:tcPr>
          <w:p>
            <w:pPr>
              <w:keepNext w:val="0"/>
              <w:keepLines w:val="0"/>
              <w:widowControl/>
              <w:suppressLineNumbers w:val="0"/>
              <w:wordWrap/>
              <w:spacing w:before="0" w:beforeAutospacing="0" w:after="0" w:afterAutospacing="0"/>
              <w:ind w:left="0" w:right="0"/>
              <w:jc w:val="center"/>
              <w:rPr>
                <w:rFonts w:hint="eastAsia" w:ascii="宋体" w:hAnsi="宋体" w:eastAsia="宋体" w:cs="宋体"/>
                <w:b/>
                <w:bCs/>
                <w:kern w:val="0"/>
                <w:sz w:val="24"/>
                <w:szCs w:val="24"/>
                <w:bdr w:val="none" w:color="auto" w:sz="0" w:space="0"/>
                <w:lang w:val="en-US" w:eastAsia="zh-CN" w:bidi="ar"/>
              </w:rPr>
            </w:pPr>
            <w:r>
              <w:rPr>
                <w:rFonts w:hint="eastAsia" w:ascii="宋体" w:hAnsi="宋体" w:eastAsia="宋体" w:cs="宋体"/>
                <w:b/>
                <w:bCs/>
                <w:kern w:val="0"/>
                <w:sz w:val="24"/>
                <w:szCs w:val="24"/>
                <w:bdr w:val="none" w:color="auto" w:sz="0" w:space="0"/>
                <w:lang w:val="en-US" w:eastAsia="zh-CN" w:bidi="ar"/>
              </w:rPr>
              <w:t>大写（人民币）：叁仟玖佰陆拾元</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Helvetica" w:hAnsi="Helvetica" w:eastAsia="Helvetica" w:cs="Helvetica"/>
          <w:i w:val="0"/>
          <w:iCs w:val="0"/>
          <w:caps w:val="0"/>
          <w:color w:val="333333"/>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二、服务内容及要求</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在签订合同前，乙方应按照征集文件《第三章 征集项目技术、服务、商务及其他要求》中所有承诺事项要求落实</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三、合同的范围和条件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1、本合同的范围和条件应与征集文件（含框架协议）的规定相一致。</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2、履约时间：2025年1月1日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3、履约地点：陕西省咸阳市咸阳市本级咸阳市秦都区玉泉西路与经电路十字市场局玉泉路办公区</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四、付款方式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1、支付方式：银行转账</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2、货币单位：人民币</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3、结算方式：由甲方与乙方双方商议确定</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五、服务保证</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1、乙方提供服务时，服务要求应按不低于国家、省、市有关部门规定的质量标准执行。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2、乙方承诺与拟投入人员均有劳动合同或聘用协议。</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3、乙方承诺拟投入人员工资不低于采购人所在地最低工资标准。</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4、乙方承诺工作人员按征集文件落实。</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六、服务承诺</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以征集文件（包含框架协议）、响应文件、澄清表（函）和随服务的相关文件为准。</w:t>
      </w:r>
    </w:p>
    <w:p>
      <w:pPr>
        <w:keepNext w:val="0"/>
        <w:keepLines w:val="0"/>
        <w:widowControl/>
        <w:suppressLineNumbers w:val="0"/>
        <w:spacing w:before="0" w:beforeAutospacing="0" w:after="0" w:afterAutospacing="0"/>
        <w:ind w:left="0" w:right="0"/>
        <w:jc w:val="left"/>
      </w:pP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七、知识产权</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乙方应保证甲方在使用、接受本合同货物和服务或其任何一部分时，不受第三方提出侵犯其专利权、版权、商标权和工业设计权等知识产权的起诉。一旦出现侵权，由乙方负全部责任。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八、产权担保</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乙方保证所交付的服务的所有权完全属于乙方且无任何抵押、查封等产权瑕疵。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九、解除合同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如发生下列任意一项，甲方有权责令整改并向上级主管部门报备解除合同，并要求乙方赔偿相关损失及承担相关法律责任。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1、考核不合格，拒不改正、影响服务质量或损害国家利益的。</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2、因乙方原因导致重大火灾、伤亡、档案丢失等。</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3、发生重大安全事件隐瞒不报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4、其他违反法律、法规和规章制度行为，造成恶劣影响的。</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5、未按本项目合同要求提供服务或服务质量不能满足合同要求，甲方应当将服务违约的情况以及拟按合同约定采取的措施以书面形式报政府采购监管部门，根据政府采购监管部门的处理意见，甲方有权依据《中华人民共和国民法典》有关条款及合同约定终止合同，并要求乙方承担违约责任。同时，政府采购监管部门有权依据《政府采购法》及相关法律法规对乙方的违法行为进行相应的处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十、履约验收</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1、乙方提供不符合征集文件、响应文件和本合同规定的服务的，甲方有权拒绝接受。</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2、甲方有权组织（包括依法邀请国家认可的质量检测机构参加）对乙方履约情况的验收，并出具验收书；向社会公众提供的公共服务项目，验收时应当邀请服务对象参与并出具意见，验收结果应当向社会公告。</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3、甲方委托第三方组织的验收项目，其验收时间以该项目验收方案确定的验收时间为准，验收结果以该项目验收报告结论为准。在验收过程中发现乙方有违约问题，可暂缓资金结算，待违约问题解决后，方可办理资金结算事宜。</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4、其他未尽事宜应严格按照《财政部关于进一步加强政府采购需求和履约验收管理的指导意见》（财库〔2016〕205号）规定执行。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十一、违约责任</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1、按《中华人民共和国民法典》中的相关条款执行。</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2、未按合同要求提供服务或服务质量不能满足合同要求，甲方有权依据《中华人民共和国民法典》有关条款及合同约定终止合同，并要求乙方承担违约责任。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十二、解决纠纷方式</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因本合同引起的争议，甲乙双方应友好协商解决。若甲乙双方不能解决争议，任意一方可发起纠纷处理流程，由征集人进行协调。协调不能达成一致的，提交原告住所地人民法院诉讼解决。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20" w:afterAutospacing="0"/>
        <w:ind w:left="300" w:right="0"/>
        <w:rPr>
          <w:b/>
          <w:bCs/>
          <w:sz w:val="36"/>
          <w:szCs w:val="36"/>
        </w:rPr>
      </w:pPr>
      <w:r>
        <w:rPr>
          <w:rStyle w:val="8"/>
          <w:b/>
          <w:i w:val="0"/>
          <w:iCs w:val="0"/>
          <w:caps w:val="0"/>
          <w:color w:val="333333"/>
          <w:spacing w:val="0"/>
          <w:sz w:val="36"/>
          <w:szCs w:val="36"/>
          <w:bdr w:val="none" w:color="auto" w:sz="0" w:space="0"/>
          <w:shd w:val="clear" w:fill="FFFFFF"/>
        </w:rPr>
        <w:t>十三、其他</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1.本合同由甲乙双方签字盖章后生效。</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420"/>
        <w:rPr>
          <w:sz w:val="30"/>
          <w:szCs w:val="30"/>
        </w:rPr>
      </w:pPr>
      <w:r>
        <w:rPr>
          <w:rFonts w:hint="default" w:ascii="Helvetica" w:hAnsi="Helvetica" w:eastAsia="Helvetica" w:cs="Helvetica"/>
          <w:i w:val="0"/>
          <w:iCs w:val="0"/>
          <w:caps w:val="0"/>
          <w:color w:val="333333"/>
          <w:spacing w:val="0"/>
          <w:sz w:val="30"/>
          <w:szCs w:val="30"/>
          <w:bdr w:val="none" w:color="auto" w:sz="0" w:space="0"/>
          <w:shd w:val="clear" w:fill="FFFFFF"/>
        </w:rPr>
        <w:t>2.合同内容如有与国家法律法规强制性规定冲突的，从其规定。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甲方(公章)：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甲方代表：咸阳市药品安全监测与评价中心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甲方联系人： 张轩</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联系电话： 15102993906</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单位地址： 陕西省咸阳市咸阳市本级咸阳市秦都区玉泉西路与经电路十字市场局玉泉路办公区</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宋体" w:hAnsi="宋体" w:eastAsia="宋体" w:cs="宋体"/>
          <w:b/>
          <w:bCs/>
          <w:i w:val="0"/>
          <w:iCs w:val="0"/>
          <w:caps w:val="0"/>
          <w:color w:val="333333"/>
          <w:spacing w:val="0"/>
          <w:kern w:val="0"/>
          <w:sz w:val="30"/>
          <w:szCs w:val="30"/>
          <w:shd w:val="clear" w:fill="FFFFFF"/>
          <w:lang w:val="en-US" w:eastAsia="zh-CN" w:bidi="ar"/>
        </w:rPr>
      </w:pPr>
      <w:r>
        <w:rPr>
          <w:rFonts w:hint="eastAsia" w:ascii="宋体" w:hAnsi="宋体" w:eastAsia="宋体" w:cs="宋体"/>
          <w:b/>
          <w:bCs/>
          <w:i w:val="0"/>
          <w:iCs w:val="0"/>
          <w:caps w:val="0"/>
          <w:color w:val="333333"/>
          <w:spacing w:val="0"/>
          <w:kern w:val="0"/>
          <w:sz w:val="30"/>
          <w:szCs w:val="30"/>
          <w:shd w:val="clear" w:fill="FFFFFF"/>
          <w:lang w:val="en-US" w:eastAsia="zh-CN" w:bidi="ar"/>
        </w:rPr>
        <w:t>2025年08月04日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乙方(公章)：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乙方代表：李洪亮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开户银行：中国银行股份有限公司咸阳玉泉西路支行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银行账号：103603329394</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银行行号：104795000150</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乙方联系人：李洪亮</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联系电话：13609217694</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180" w:beforeAutospacing="0" w:after="180" w:afterAutospacing="0"/>
        <w:ind w:left="0" w:right="0" w:firstLine="420"/>
        <w:rPr>
          <w:sz w:val="30"/>
          <w:szCs w:val="30"/>
        </w:rPr>
      </w:pPr>
      <w:r>
        <w:rPr>
          <w:i w:val="0"/>
          <w:iCs w:val="0"/>
          <w:caps w:val="0"/>
          <w:color w:val="333333"/>
          <w:spacing w:val="0"/>
          <w:sz w:val="30"/>
          <w:szCs w:val="30"/>
          <w:bdr w:val="none" w:color="auto" w:sz="0" w:space="0"/>
          <w:shd w:val="clear" w:fill="FFFFFF"/>
        </w:rPr>
        <w:t>单位地址：陕西省咸阳市秦都区宝泉路西段</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02" w:firstLineChars="200"/>
        <w:jc w:val="left"/>
        <w:rPr>
          <w:rFonts w:hint="eastAsia" w:ascii="宋体" w:hAnsi="宋体" w:eastAsia="宋体" w:cs="宋体"/>
          <w:b/>
          <w:bCs/>
          <w:i w:val="0"/>
          <w:iCs w:val="0"/>
          <w:caps w:val="0"/>
          <w:color w:val="333333"/>
          <w:spacing w:val="0"/>
          <w:kern w:val="0"/>
          <w:sz w:val="30"/>
          <w:szCs w:val="30"/>
          <w:shd w:val="clear" w:fill="FFFFFF"/>
          <w:lang w:val="en-US" w:eastAsia="zh-CN" w:bidi="ar"/>
        </w:rPr>
      </w:pPr>
      <w:r>
        <w:rPr>
          <w:rFonts w:hint="eastAsia" w:ascii="宋体" w:hAnsi="宋体" w:eastAsia="宋体" w:cs="宋体"/>
          <w:b/>
          <w:bCs/>
          <w:i w:val="0"/>
          <w:iCs w:val="0"/>
          <w:caps w:val="0"/>
          <w:color w:val="333333"/>
          <w:spacing w:val="0"/>
          <w:kern w:val="0"/>
          <w:sz w:val="30"/>
          <w:szCs w:val="30"/>
          <w:shd w:val="clear" w:fill="FFFFFF"/>
          <w:lang w:val="en-US" w:eastAsia="zh-CN" w:bidi="ar"/>
        </w:rPr>
        <w:t>2025年08月04日</w:t>
      </w:r>
    </w:p>
    <w:p/>
    <w:sectPr>
      <w:pgSz w:w="11906" w:h="16838"/>
      <w:pgMar w:top="1440" w:right="1349" w:bottom="1440" w:left="134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F86F72"/>
    <w:rsid w:val="59F86F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2025-08-04T02:29:00Z</dcterms:created>
  <dc:creator>枫叶（轩）</dc:creator>
  <cp:lastModifiedBy>枫叶（轩）</cp:lastModifiedBy>
  <dcterms:modified xsi:type="dcterms:W3CDTF">2025-08-04T02:34:51Z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